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p>
    <w:p>
      <w:pPr>
        <w:spacing w:after="80"/>
      </w:pPr>
    </w:p>
    <w:p>
      <w:pPr>
        <w:spacing w:after="80"/>
      </w:pPr>
    </w:p>
    <w:p>
      <w:pPr>
        <w:spacing w:after="80"/>
      </w:pPr>
    </w:p>
    <w:p>
      <w:pPr>
        <w:jc w:val="center"/>
      </w:pPr>
      <w:r>
        <w:rPr>
          <w:b/>
          <w:bCs/>
          <w:color w:val="1F2937"/>
          <w:sz w:val="48"/>
          <w:szCs w:val="48"/>
          <w:rFonts w:ascii="맑은 고딕" w:cs="맑은 고딕" w:eastAsia="맑은 고딕" w:hAnsi="맑은 고딕"/>
        </w:rPr>
        <w:t xml:space="preserve">에코그린산업(주)</w:t>
      </w:r>
    </w:p>
    <w:p>
      <w:pPr>
        <w:spacing w:after="80"/>
      </w:pPr>
    </w:p>
    <w:p>
      <w:pPr>
        <w:jc w:val="center"/>
      </w:pPr>
      <w:r>
        <w:rPr>
          <w:b/>
          <w:bCs/>
          <w:color w:val="1F2937"/>
          <w:sz w:val="40"/>
          <w:szCs w:val="40"/>
          <w:rFonts w:ascii="맑은 고딕" w:cs="맑은 고딕" w:eastAsia="맑은 고딕" w:hAnsi="맑은 고딕"/>
        </w:rPr>
        <w:t xml:space="preserve">환경측면 파악 및 평가 절차서</w:t>
      </w:r>
    </w:p>
    <w:p>
      <w:pPr>
        <w:spacing w:after="80"/>
      </w:pPr>
    </w:p>
    <w:p>
      <w:pPr>
        <w:spacing w:before="200"/>
        <w:jc w:val="center"/>
      </w:pPr>
      <w:r>
        <w:rPr>
          <w:color w:val="6B7280"/>
          <w:sz w:val="20"/>
          <w:szCs w:val="20"/>
          <w:rFonts w:ascii="맑은 고딕" w:cs="맑은 고딕" w:eastAsia="맑은 고딕" w:hAnsi="맑은 고딕"/>
        </w:rPr>
        <w:t xml:space="preserve">문서번호: EP-001    개정번호: Rev.0</w:t>
      </w:r>
    </w:p>
    <w:p>
      <w:pPr>
        <w:spacing w:after="80"/>
      </w:pPr>
    </w:p>
    <w:p>
      <w:pPr>
        <w:spacing w:after="80"/>
      </w:pPr>
    </w:p>
    <w:tbl>
      <w:tblPr>
        <w:tblW w:type="pct" w:w="60%"/>
        <w:jc w:val="center"/>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구분</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작성</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검토</w:t>
            </w:r>
          </w:p>
        </w:tc>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승인</w:t>
            </w:r>
          </w:p>
        </w:tc>
      </w:tr>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서명</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r>
      <w:tr>
        <w:tc>
          <w:tcPr>
            <w:tcW w:type="pct" w:w="25%"/>
            <w:tcBorders>
              <w:top w:val="single" w:color="AAAAAA" w:sz="1"/>
              <w:left w:val="single" w:color="AAAAAA" w:sz="1"/>
              <w:bottom w:val="single" w:color="AAAAAA" w:sz="1"/>
              <w:right w:val="single" w:color="AAAAAA" w:sz="1"/>
            </w:tcBorders>
            <w:vAlign w:val="center"/>
          </w:tcPr>
          <w:p>
            <w:pPr>
              <w:jc w:val="center"/>
            </w:pPr>
            <w:r>
              <w:rPr>
                <w:b/>
                <w:bCs/>
                <w:sz w:val="20"/>
                <w:szCs w:val="20"/>
                <w:rFonts w:ascii="맑은 고딕" w:cs="맑은 고딕" w:eastAsia="맑은 고딕" w:hAnsi="맑은 고딕"/>
              </w:rPr>
              <w:t xml:space="preserve">일자</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c>
          <w:tcPr>
            <w:tcW w:type="pct" w:w="25%"/>
            <w:tcBorders>
              <w:top w:val="single" w:color="AAAAAA" w:sz="1"/>
              <w:left w:val="single" w:color="AAAAAA" w:sz="1"/>
              <w:bottom w:val="single" w:color="AAAAAA" w:sz="1"/>
              <w:right w:val="single" w:color="AAAAAA" w:sz="1"/>
            </w:tcBorders>
            <w:vAlign w:val="center"/>
          </w:tcPr>
          <w:p>
            <w:pPr>
              <w:spacing w:before="240" w:after="240"/>
              <w:jc w:val="center"/>
            </w:pPr>
            <w:r>
              <w:rPr>
                <w:sz w:val="20"/>
                <w:szCs w:val="20"/>
              </w:rPr>
              <w:t xml:space="preserve"> </w:t>
            </w:r>
          </w:p>
        </w:tc>
      </w:tr>
    </w:tbl>
    <w:p>
      <w:pPr>
        <w:spacing w:after="80"/>
      </w:pPr>
    </w:p>
    <w:p>
      <w:pPr>
        <w:jc w:val="center"/>
      </w:pPr>
      <w:r>
        <w:rPr>
          <w:color w:val="6B7280"/>
          <w:sz w:val="20"/>
          <w:szCs w:val="20"/>
          <w:rFonts w:ascii="맑은 고딕" w:cs="맑은 고딕" w:eastAsia="맑은 고딕" w:hAnsi="맑은 고딕"/>
        </w:rPr>
        <w:t xml:space="preserve">제정일: 2026. 04. 02</w:t>
      </w:r>
    </w:p>
    <w:p>
      <w:pPr>
        <w:spacing w:before="120"/>
        <w:jc w:val="center"/>
      </w:pPr>
      <w:r>
        <w:rPr>
          <w:b/>
          <w:bCs/>
          <w:color w:val="1E40AF"/>
          <w:sz w:val="18"/>
          <w:szCs w:val="18"/>
          <w:rFonts w:ascii="맑은 고딕" w:cs="맑은 고딕" w:eastAsia="맑은 고딕" w:hAnsi="맑은 고딕"/>
        </w:rPr>
        <w:t xml:space="preserve">[ 관리본 ]</w:t>
      </w:r>
    </w:p>
    <w:p>
      <w:pPr>
        <w:sectPr>
          <w:pgSz w:w="11906" w:h="16838" w:orient="portrait"/>
          <w:pgMar w:top="1440" w:right="1080" w:bottom="1440" w:left="1080" w:header="720" w:footer="720" w:gutter="0"/>
          <w:pgNumType/>
          <w:docGrid w:linePitch="360"/>
        </w:sectPr>
      </w:pPr>
    </w:p>
    <w:sdt>
      <w:sdtPr>
        <w:alias w:val="목  차"/>
      </w:sdtPr>
      <w:sdtContent>
        <w:p>
          <w:r>
            <w:fldChar w:fldCharType="begin" w:dirty="true"/>
            <w:instrText xml:space="preserve">TOC \h \o "1-3"</w:instrText>
            <w:fldChar w:fldCharType="separate"/>
          </w:r>
        </w:p>
        <w:p>
          <w:r>
            <w:fldChar w:fldCharType="end"/>
          </w:r>
        </w:p>
      </w:sdtContent>
    </w:sdt>
    <w:p>
      <w:pPr>
        <w:pageBreakBefore/>
      </w:pPr>
    </w:p>
    <w:p>
      <w:pPr>
        <w:pStyle w:val="Heading1"/>
        <w:spacing w:before="480" w:after="240"/>
      </w:pPr>
      <w:r>
        <w:rPr>
          <w:b/>
          <w:bCs/>
          <w:color w:val="1F2937"/>
          <w:sz w:val="28"/>
          <w:szCs w:val="28"/>
          <w:rFonts w:ascii="맑은 고딕" w:cs="맑은 고딕" w:eastAsia="맑은 고딕" w:hAnsi="맑은 고딕"/>
        </w:rPr>
        <w:t xml:space="preserve">1. 목적</w:t>
      </w:r>
    </w:p>
    <w:p>
      <w:pPr>
        <w:spacing w:after="120" w:line="360"/>
      </w:pPr>
      <w:r>
        <w:rPr>
          <w:color w:val="333333"/>
          <w:sz w:val="20"/>
          <w:szCs w:val="20"/>
          <w:rFonts w:ascii="맑은 고딕" w:cs="맑은 고딕" w:eastAsia="맑은 고딕" w:hAnsi="맑은 고딕"/>
        </w:rPr>
        <w:t xml:space="preserve">본 절차서는 에코그린산업(주)의 플라스틱 사출성형 제품 제조 활동과 관련된 환경측면(environmental aspects)을 전과정(life cycle) 관점에서 체계적으로 파악하고, 중대한 환경영향(significant environmental impacts)을 평가·관리하기 위한 기준과 방법을 규정함을 목적으로 한다. 또한 정상 운영조건뿐만 아니라 비정상 운영조건, 비상사태를 포함한 잠재적 비상사태에서 발생할 수 있는 환경측면을 사전에 식별하여, 중대한 환경측면에 대한 관리방안을 수립하고 지속적 개선을 추구한다. 본 절차는 ISO 14001:2026 요구사항인 6.1.2(환경측면) 조항을 충족하며, 원재료 획득부터 제품의 최종 폐기까지 전 단계에서의 환경영향을 고려하여 조직의 환경경영시스템 운영에 기여함을 목표로 한다.</w:t>
      </w:r>
    </w:p>
    <w:p>
      <w:pPr>
        <w:pStyle w:val="Heading1"/>
        <w:spacing w:before="480" w:after="240"/>
      </w:pPr>
      <w:r>
        <w:rPr>
          <w:b/>
          <w:bCs/>
          <w:color w:val="1F2937"/>
          <w:sz w:val="28"/>
          <w:szCs w:val="28"/>
          <w:rFonts w:ascii="맑은 고딕" w:cs="맑은 고딕" w:eastAsia="맑은 고딕" w:hAnsi="맑은 고딕"/>
        </w:rPr>
        <w:t xml:space="preserve">2. 적용범위</w:t>
      </w:r>
    </w:p>
    <w:p>
      <w:pPr>
        <w:spacing w:after="120" w:line="360"/>
      </w:pPr>
      <w:r>
        <w:rPr>
          <w:color w:val="333333"/>
          <w:sz w:val="20"/>
          <w:szCs w:val="20"/>
          <w:rFonts w:ascii="맑은 고딕" w:cs="맑은 고딕" w:eastAsia="맑은 고딕" w:hAnsi="맑은 고딕"/>
        </w:rPr>
        <w:t xml:space="preserve">본 절차서는 에코그린산업(주)의 모든 사업장에서 수행되는 플라스틱 사출성형 제품 제조 활동 전반에 적용된다. 구체적으로는 수주/영업, 원재료(플라스틱 원료, 첨가제) 입고 및 검사, 사출성형 공정, 조립 공정, 제품 검사, 포장, 출하 및 운송 단계를 포함하며, 제품 사용 단계(자동차 내장재, 전자제품 하우징 등 최종 용도)와 폐기 단계(재활용, 소각, 매립 등)까지 전과정 관점에서 환경측면을 파악한다. 또한 협력업체의 원재료 공급 단계, 외주 가공 단계, 폐기물 수집운반·처리업체 단계 등 Upstream 및 Downstream 활동도 고려 대상에 포함한다. 본 절차는 정상 운영조건, 비정상 운영조건(가동 중지, 시운전, 설비 보수), 합리적으로 예측 가능한 비상사태(화재, 유류 누출, 화학물질 유출) 시나리오를 모두 포함한다.</w:t>
      </w:r>
    </w:p>
    <w:p>
      <w:pPr>
        <w:pStyle w:val="Heading1"/>
        <w:spacing w:before="480" w:after="240"/>
      </w:pPr>
      <w:r>
        <w:rPr>
          <w:b/>
          <w:bCs/>
          <w:color w:val="1F2937"/>
          <w:sz w:val="28"/>
          <w:szCs w:val="28"/>
          <w:rFonts w:ascii="맑은 고딕" w:cs="맑은 고딕" w:eastAsia="맑은 고딕" w:hAnsi="맑은 고딕"/>
        </w:rPr>
        <w:t xml:space="preserve">3. 용어 및 정의</w:t>
      </w:r>
    </w:p>
    <w:p>
      <w:pPr>
        <w:spacing w:after="120" w:line="360"/>
      </w:pPr>
      <w:r>
        <w:rPr>
          <w:color w:val="333333"/>
          <w:sz w:val="20"/>
          <w:szCs w:val="20"/>
          <w:rFonts w:ascii="맑은 고딕" w:cs="맑은 고딕" w:eastAsia="맑은 고딕" w:hAnsi="맑은 고딕"/>
        </w:rPr>
        <w:t xml:space="preserve">3.1 환경측면(Environmental Aspect): 조직의 활동, 제품 또는 서비스 중 환경과 상호작용하거나 상호작용할 수 있는 요소. 예: 사출성형 공정에서의 전력 소비, 플라스틱 원료 투입, 폐기물(불량품, 런너/스프루) 발생, 냉각수 사용, VOC 배출 등.</w:t>
      </w:r>
    </w:p>
    <w:p>
      <w:pPr>
        <w:spacing w:after="120" w:line="360"/>
      </w:pPr>
      <w:r>
        <w:rPr>
          <w:color w:val="333333"/>
          <w:sz w:val="20"/>
          <w:szCs w:val="20"/>
          <w:rFonts w:ascii="맑은 고딕" w:cs="맑은 고딕" w:eastAsia="맑은 고딕" w:hAnsi="맑은 고딕"/>
        </w:rPr>
        <w:t xml:space="preserve">3.2 환경영향(Environmental Impact): 환경측면으로 인해 발생하는 환경 변화로서, 유해하거나 유익한 전체 또는 부분적 변화를 포함. 예: 온실가스 배출에 따른 기후변화 기여, 폐플라스틱 매립에 따른 토양오염, 재활용에 따른 자원절감 효과 등.</w:t>
      </w:r>
    </w:p>
    <w:p>
      <w:pPr>
        <w:spacing w:after="120" w:line="360"/>
      </w:pPr>
      <w:r>
        <w:rPr>
          <w:color w:val="333333"/>
          <w:sz w:val="20"/>
          <w:szCs w:val="20"/>
          <w:rFonts w:ascii="맑은 고딕" w:cs="맑은 고딕" w:eastAsia="맑은 고딕" w:hAnsi="맑은 고딕"/>
        </w:rPr>
        <w:t xml:space="preserve">3.3 전과정 관점(Life Cycle Perspective): 원재료 획득, 설계, 생산, 운송/납품, 사용, 폐기 처리 및 최종 폐기까지 제품의 전 과정을 고려하는 관점. ISO 14001:2026에서는 조직이 통제할 수 있는 환경측면과 영향을 미칠 수 있는 환경측면을 모두 파악하도록 요구함.</w:t>
      </w:r>
    </w:p>
    <w:p>
      <w:pPr>
        <w:spacing w:after="120" w:line="360"/>
      </w:pPr>
      <w:r>
        <w:rPr>
          <w:color w:val="333333"/>
          <w:sz w:val="20"/>
          <w:szCs w:val="20"/>
          <w:rFonts w:ascii="맑은 고딕" w:cs="맑은 고딕" w:eastAsia="맑은 고딕" w:hAnsi="맑은 고딕"/>
        </w:rPr>
        <w:t xml:space="preserve">3.4 중대한 환경측면(Significant Environmental Aspect): 확립된 기준(환경측면의 유형, 규모, 빈도와 환경영향의 규모, 심각성, 지속기간, 노출)에 따라 평가하여, 중대한 환경영향을 미치거나 미칠 가능성이 있는 환경측면. 조직은 중대한 환경측면에 대해 우선적으로 관리방안을 수립하고 목표·세부목표를 설정함.</w:t>
      </w:r>
    </w:p>
    <w:p>
      <w:pPr>
        <w:spacing w:after="120" w:line="360"/>
      </w:pPr>
      <w:r>
        <w:rPr>
          <w:color w:val="333333"/>
          <w:sz w:val="20"/>
          <w:szCs w:val="20"/>
          <w:rFonts w:ascii="맑은 고딕" w:cs="맑은 고딕" w:eastAsia="맑은 고딕" w:hAnsi="맑은 고딕"/>
        </w:rPr>
        <w:t xml:space="preserve">3.5 비상사태(Emergency Situation): 화재, 폭발, 화학물질 유출, 자연재해 등 긴급한 조치가 필요한 예기치 못한 사고 또는 상황으로서, 환경에 부정적 영향을 미칠 수 있는 잠재적 상황을 포함. 본 절차에서는 비상사태 시 발생 가능한 환경측면(예: 화재 시 소방수 및 소화약제의 토양·수질 오염, 유류 누출 시 토양·지하수 오염)을 사전에 식별하여 대응방안을 준비함.</w:t>
      </w:r>
    </w:p>
    <w:p>
      <w:pPr>
        <w:spacing w:after="120" w:line="360"/>
      </w:pPr>
      <w:r>
        <w:rPr>
          <w:color w:val="333333"/>
          <w:sz w:val="20"/>
          <w:szCs w:val="20"/>
          <w:rFonts w:ascii="맑은 고딕" w:cs="맑은 고딕" w:eastAsia="맑은 고딕" w:hAnsi="맑은 고딕"/>
        </w:rPr>
        <w:t xml:space="preserve">3.6 Downstream 환경측면: 조직이 직접 통제할 수는 없으나 영향을 미칠 수 있는 제품 사용 및 폐기 단계의 환경측면. 예: 자동차 내장재 제품의 경우 차량 사용 중 VOC 방출, 폐차 시 플라스틱 분리수거 및 재활용 가능성; 전자제품 하우징의 경우 사용 후 전자폐기물 처리 경로 및 재활용률 등.</w:t>
      </w:r>
    </w:p>
    <w:p>
      <w:pPr>
        <w:pStyle w:val="Heading1"/>
        <w:spacing w:before="480" w:after="240"/>
      </w:pPr>
      <w:r>
        <w:rPr>
          <w:b/>
          <w:bCs/>
          <w:color w:val="1F2937"/>
          <w:sz w:val="28"/>
          <w:szCs w:val="28"/>
          <w:rFonts w:ascii="맑은 고딕" w:cs="맑은 고딕" w:eastAsia="맑은 고딕" w:hAnsi="맑은 고딕"/>
        </w:rPr>
        <w:t xml:space="preserve">4. 책임과 권한</w:t>
      </w:r>
    </w:p>
    <w:p>
      <w:pPr>
        <w:spacing w:after="120" w:line="360"/>
      </w:pPr>
      <w:r>
        <w:rPr>
          <w:color w:val="333333"/>
          <w:sz w:val="20"/>
          <w:szCs w:val="20"/>
          <w:rFonts w:ascii="맑은 고딕" w:cs="맑은 고딕" w:eastAsia="맑은 고딕" w:hAnsi="맑은 고딕"/>
        </w:rPr>
        <w:t xml:space="preserve">4.1 대표이사</w:t>
      </w:r>
    </w:p>
    <w:p>
      <w:pPr>
        <w:spacing w:after="120" w:line="360"/>
        <w:ind w:left="720" w:hanging="240"/>
      </w:pPr>
      <w:r>
        <w:rPr>
          <w:color w:val="333333"/>
          <w:sz w:val="20"/>
          <w:szCs w:val="20"/>
          <w:rFonts w:ascii="맑은 고딕" w:cs="맑은 고딕" w:eastAsia="맑은 고딕" w:hAnsi="맑은 고딕"/>
        </w:rPr>
        <w:t xml:space="preserve">a) 환경측면 파악 및 평가 절차의 최종 승인 권한을 가지며, 중대한 환경측면 관리에 필요한 자원(인력, 예산, 설비)을 배정한다.</w:t>
      </w:r>
    </w:p>
    <w:p>
      <w:pPr>
        <w:spacing w:after="120" w:line="360"/>
        <w:ind w:left="720" w:hanging="240"/>
      </w:pPr>
      <w:r>
        <w:rPr>
          <w:color w:val="333333"/>
          <w:sz w:val="20"/>
          <w:szCs w:val="20"/>
          <w:rFonts w:ascii="맑은 고딕" w:cs="맑은 고딕" w:eastAsia="맑은 고딕" w:hAnsi="맑은 고딕"/>
        </w:rPr>
        <w:t xml:space="preserve">b) 경영검토 회의에서 중대한 환경측면 목록과 관리 실적을 검토하고, 환경목표 달성을 위한 전략적 방향을 제시한다.</w:t>
      </w:r>
    </w:p>
    <w:p>
      <w:pPr>
        <w:spacing w:after="120" w:line="360"/>
        <w:ind w:left="720" w:hanging="240"/>
      </w:pPr>
      <w:r>
        <w:rPr>
          <w:color w:val="333333"/>
          <w:sz w:val="20"/>
          <w:szCs w:val="20"/>
          <w:rFonts w:ascii="맑은 고딕" w:cs="맑은 고딕" w:eastAsia="맑은 고딕" w:hAnsi="맑은 고딕"/>
        </w:rPr>
        <w:t xml:space="preserve">c) 환경경영시스템의 전과정 관점 적용 방침을 승인하고, 조직 내외부에 환경측면 관리 의지를 전달한다.</w:t>
      </w:r>
    </w:p>
    <w:p>
      <w:pPr>
        <w:spacing w:after="120" w:line="360"/>
      </w:pPr>
      <w:r>
        <w:rPr>
          <w:color w:val="333333"/>
          <w:sz w:val="20"/>
          <w:szCs w:val="20"/>
          <w:rFonts w:ascii="맑은 고딕" w:cs="맑은 고딕" w:eastAsia="맑은 고딕" w:hAnsi="맑은 고딕"/>
        </w:rPr>
        <w:t xml:space="preserve">4.2 환경안전팀장(관리책임자)</w:t>
      </w:r>
    </w:p>
    <w:p>
      <w:pPr>
        <w:spacing w:after="120" w:line="360"/>
        <w:ind w:left="720" w:hanging="240"/>
      </w:pPr>
      <w:r>
        <w:rPr>
          <w:color w:val="333333"/>
          <w:sz w:val="20"/>
          <w:szCs w:val="20"/>
          <w:rFonts w:ascii="맑은 고딕" w:cs="맑은 고딕" w:eastAsia="맑은 고딕" w:hAnsi="맑은 고딕"/>
        </w:rPr>
        <w:t xml:space="preserve">a) 환경측면 파악 및 평가 절차의 총괄 책임자로서, 연 1회 이상 전사 환경측면 파악 활동을 주관하고, 평가 기준의 적절성을 검토한다.</w:t>
      </w:r>
    </w:p>
    <w:p>
      <w:pPr>
        <w:spacing w:after="120" w:line="360"/>
        <w:ind w:left="720" w:hanging="240"/>
      </w:pPr>
      <w:r>
        <w:rPr>
          <w:color w:val="333333"/>
          <w:sz w:val="20"/>
          <w:szCs w:val="20"/>
          <w:rFonts w:ascii="맑은 고딕" w:cs="맑은 고딕" w:eastAsia="맑은 고딕" w:hAnsi="맑은 고딕"/>
        </w:rPr>
        <w:t xml:space="preserve">b) 각 부서(생산팀, 품질팀, 경영지원팀)로부터 환경측면 정보를 수집·통합하여 「QF-022 환경측면 영향평가표」를 작성하고, 중대한 환경측면을 결정한다.</w:t>
      </w:r>
    </w:p>
    <w:p>
      <w:pPr>
        <w:spacing w:after="120" w:line="360"/>
        <w:ind w:left="720" w:hanging="240"/>
      </w:pPr>
      <w:r>
        <w:rPr>
          <w:color w:val="333333"/>
          <w:sz w:val="20"/>
          <w:szCs w:val="20"/>
          <w:rFonts w:ascii="맑은 고딕" w:cs="맑은 고딕" w:eastAsia="맑은 고딕" w:hAnsi="맑은 고딕"/>
        </w:rPr>
        <w:t xml:space="preserve">c) 중대한 환경측면에 대한 관리방안(운영관리, 모니터링, 목표 설정)을 수립하고, 관련 부서에 전달하여 이행을 확인한다.</w:t>
      </w:r>
    </w:p>
    <w:p>
      <w:pPr>
        <w:spacing w:after="120" w:line="360"/>
        <w:ind w:left="720" w:hanging="240"/>
      </w:pPr>
      <w:r>
        <w:rPr>
          <w:color w:val="333333"/>
          <w:sz w:val="20"/>
          <w:szCs w:val="20"/>
          <w:rFonts w:ascii="맑은 고딕" w:cs="맑은 고딕" w:eastAsia="맑은 고딕" w:hAnsi="맑은 고딕"/>
        </w:rPr>
        <w:t xml:space="preserve">d) 비상사태 시나리오별 환경측면을 파악하고, EP-003 『비상사태 대비 및 대응 절차서』와 연계하여 대응절차를 수립한다.</w:t>
      </w:r>
    </w:p>
    <w:p>
      <w:pPr>
        <w:spacing w:after="120" w:line="360"/>
        <w:ind w:left="720" w:hanging="240"/>
      </w:pPr>
      <w:r>
        <w:rPr>
          <w:color w:val="333333"/>
          <w:sz w:val="20"/>
          <w:szCs w:val="20"/>
          <w:rFonts w:ascii="맑은 고딕" w:cs="맑은 고딕" w:eastAsia="맑은 고딕" w:hAnsi="맑은 고딕"/>
        </w:rPr>
        <w:t xml:space="preserve">e) 환경측면 평가 결과를 문서화된 정보로 유지하고, 내부심사 및 경영검토 시 보고한다.</w:t>
      </w:r>
    </w:p>
    <w:p>
      <w:pPr>
        <w:spacing w:after="120" w:line="360"/>
      </w:pPr>
      <w:r>
        <w:rPr>
          <w:color w:val="333333"/>
          <w:sz w:val="20"/>
          <w:szCs w:val="20"/>
          <w:rFonts w:ascii="맑은 고딕" w:cs="맑은 고딕" w:eastAsia="맑은 고딕" w:hAnsi="맑은 고딕"/>
        </w:rPr>
        <w:t xml:space="preserve">4.3 생산팀장</w:t>
      </w:r>
    </w:p>
    <w:p>
      <w:pPr>
        <w:spacing w:after="120" w:line="360"/>
        <w:ind w:left="720" w:hanging="240"/>
      </w:pPr>
      <w:r>
        <w:rPr>
          <w:color w:val="333333"/>
          <w:sz w:val="20"/>
          <w:szCs w:val="20"/>
          <w:rFonts w:ascii="맑은 고딕" w:cs="맑은 고딕" w:eastAsia="맑은 고딕" w:hAnsi="맑은 고딕"/>
        </w:rPr>
        <w:t xml:space="preserve">a) 사출성형 공정, 조립 공정 등 생산 활동에서 발생하는 환경측면(전력, 원료, 용수, 폐기물, 대기배출물, 소음 등)을 파악하여 환경안전팀에 제공한다.</w:t>
      </w:r>
    </w:p>
    <w:p>
      <w:pPr>
        <w:spacing w:after="120" w:line="360"/>
        <w:ind w:left="720" w:hanging="240"/>
      </w:pPr>
      <w:r>
        <w:rPr>
          <w:color w:val="333333"/>
          <w:sz w:val="20"/>
          <w:szCs w:val="20"/>
          <w:rFonts w:ascii="맑은 고딕" w:cs="맑은 고딕" w:eastAsia="맑은 고딕" w:hAnsi="맑은 고딕"/>
        </w:rPr>
        <w:t xml:space="preserve">b) 공정 변경, 신규 설비 도입, 원재료 변경 시 환경측면 변화를 즉시 환경안전팀에 통보하고, 환경영향 재평가를 요청한다.</w:t>
      </w:r>
    </w:p>
    <w:p>
      <w:pPr>
        <w:spacing w:after="120" w:line="360"/>
        <w:ind w:left="720" w:hanging="240"/>
      </w:pPr>
      <w:r>
        <w:rPr>
          <w:color w:val="333333"/>
          <w:sz w:val="20"/>
          <w:szCs w:val="20"/>
          <w:rFonts w:ascii="맑은 고딕" w:cs="맑은 고딕" w:eastAsia="맑은 고딕" w:hAnsi="맑은 고딕"/>
        </w:rPr>
        <w:t xml:space="preserve">c) 중대한 환경측면 관리를 위한 운영기준(예: 냉각수 재사용률 목표, 불량률 저감 목표)을 준수하고, 월간 실적을 환경안전팀에 보고한다.</w:t>
      </w:r>
    </w:p>
    <w:p>
      <w:pPr>
        <w:spacing w:after="120" w:line="360"/>
        <w:ind w:left="720" w:hanging="240"/>
      </w:pPr>
      <w:r>
        <w:rPr>
          <w:color w:val="333333"/>
          <w:sz w:val="20"/>
          <w:szCs w:val="20"/>
          <w:rFonts w:ascii="맑은 고딕" w:cs="맑은 고딕" w:eastAsia="맑은 고딕" w:hAnsi="맑은 고딕"/>
        </w:rPr>
        <w:t xml:space="preserve">d) 비정상 운영조건(설비 고장, 시운전, 청소 등) 시 환경측면 발생 내역을 기록하고, 필요시 임시 관리조치를 시행한다.</w:t>
      </w:r>
    </w:p>
    <w:p>
      <w:pPr>
        <w:spacing w:after="120" w:line="360"/>
      </w:pPr>
      <w:r>
        <w:rPr>
          <w:color w:val="333333"/>
          <w:sz w:val="20"/>
          <w:szCs w:val="20"/>
          <w:rFonts w:ascii="맑은 고딕" w:cs="맑은 고딕" w:eastAsia="맑은 고딕" w:hAnsi="맑은 고딕"/>
        </w:rPr>
        <w:t xml:space="preserve">4.4 품질팀장</w:t>
      </w:r>
    </w:p>
    <w:p>
      <w:pPr>
        <w:spacing w:after="120" w:line="360"/>
        <w:ind w:left="720" w:hanging="240"/>
      </w:pPr>
      <w:r>
        <w:rPr>
          <w:color w:val="333333"/>
          <w:sz w:val="20"/>
          <w:szCs w:val="20"/>
          <w:rFonts w:ascii="맑은 고딕" w:cs="맑은 고딕" w:eastAsia="맑은 고딕" w:hAnsi="맑은 고딕"/>
        </w:rPr>
        <w:t xml:space="preserve">a) 제품 검사 및 부적합품 발생 과정에서의 환경측면(폐기물 발생, 재작업 투입 자원)을 파악하여 환경안전팀에 제공한다.</w:t>
      </w:r>
    </w:p>
    <w:p>
      <w:pPr>
        <w:spacing w:after="120" w:line="360"/>
        <w:ind w:left="720" w:hanging="240"/>
      </w:pPr>
      <w:r>
        <w:rPr>
          <w:color w:val="333333"/>
          <w:sz w:val="20"/>
          <w:szCs w:val="20"/>
          <w:rFonts w:ascii="맑은 고딕" w:cs="맑은 고딕" w:eastAsia="맑은 고딕" w:hAnsi="맑은 고딕"/>
        </w:rPr>
        <w:t xml:space="preserve">b) 고객 요구사항 및 제품 사양 변경 시 환경측면 변화(예: 난연제 첨가에 따른 VOC 배출 증가) 가능성을 검토하고, 환경안전팀과 협의한다.</w:t>
      </w:r>
    </w:p>
    <w:p>
      <w:pPr>
        <w:spacing w:after="120" w:line="360"/>
        <w:ind w:left="720" w:hanging="240"/>
      </w:pPr>
      <w:r>
        <w:rPr>
          <w:color w:val="333333"/>
          <w:sz w:val="20"/>
          <w:szCs w:val="20"/>
          <w:rFonts w:ascii="맑은 고딕" w:cs="맑은 고딕" w:eastAsia="맑은 고딕" w:hAnsi="맑은 고딕"/>
        </w:rPr>
        <w:t xml:space="preserve">c) 제품 사용 단계 및 폐기 단계의 환경영향 정보(고객 피드백, 재활용 데이터 등)를 수집하여 환경안전팀에 전달한다.</w:t>
      </w:r>
    </w:p>
    <w:p>
      <w:pPr>
        <w:spacing w:after="120" w:line="360"/>
      </w:pPr>
      <w:r>
        <w:rPr>
          <w:color w:val="333333"/>
          <w:sz w:val="20"/>
          <w:szCs w:val="20"/>
          <w:rFonts w:ascii="맑은 고딕" w:cs="맑은 고딕" w:eastAsia="맑은 고딕" w:hAnsi="맑은 고딕"/>
        </w:rPr>
        <w:t xml:space="preserve">4.5 경영지원팀장</w:t>
      </w:r>
    </w:p>
    <w:p>
      <w:pPr>
        <w:spacing w:after="120" w:line="360"/>
        <w:ind w:left="720" w:hanging="240"/>
      </w:pPr>
      <w:r>
        <w:rPr>
          <w:color w:val="333333"/>
          <w:sz w:val="20"/>
          <w:szCs w:val="20"/>
          <w:rFonts w:ascii="맑은 고딕" w:cs="맑은 고딕" w:eastAsia="맑은 고딕" w:hAnsi="맑은 고딕"/>
        </w:rPr>
        <w:t xml:space="preserve">a) 원재료 구매, 협력업체 선정, 폐기물 처리업체 계약 등 Upstream 및 Downstream 활동과 관련된 환경측면 정보를 파악하여 환경안전팀에 제공한다.</w:t>
      </w:r>
    </w:p>
    <w:p>
      <w:pPr>
        <w:spacing w:after="120" w:line="360"/>
        <w:ind w:left="720" w:hanging="240"/>
      </w:pPr>
      <w:r>
        <w:rPr>
          <w:color w:val="333333"/>
          <w:sz w:val="20"/>
          <w:szCs w:val="20"/>
          <w:rFonts w:ascii="맑은 고딕" w:cs="맑은 고딕" w:eastAsia="맑은 고딕" w:hAnsi="맑은 고딕"/>
        </w:rPr>
        <w:t xml:space="preserve">b) 신규 협력업체 평가 시 환경 기준(환경인증 보유, 재활용 원료 공급 가능 여부 등)을 반영하고, 환경측면 관리에 기여하는 업체를 우대한다.</w:t>
      </w:r>
    </w:p>
    <w:p>
      <w:pPr>
        <w:spacing w:after="120" w:line="360"/>
        <w:ind w:left="720" w:hanging="240"/>
      </w:pPr>
      <w:r>
        <w:rPr>
          <w:color w:val="333333"/>
          <w:sz w:val="20"/>
          <w:szCs w:val="20"/>
          <w:rFonts w:ascii="맑은 고딕" w:cs="맑은 고딕" w:eastAsia="맑은 고딕" w:hAnsi="맑은 고딕"/>
        </w:rPr>
        <w:t xml:space="preserve">c) 제품 운송 및 포장재 사용과 관련된 환경측면(포장재 종류, 운송 거리, 연료 소비)을 파악하고, 개선 기회를 제안한다.</w:t>
      </w:r>
    </w:p>
    <w:p>
      <w:pPr>
        <w:spacing w:after="120" w:line="360"/>
      </w:pPr>
      <w:r>
        <w:rPr>
          <w:color w:val="333333"/>
          <w:sz w:val="20"/>
          <w:szCs w:val="20"/>
          <w:rFonts w:ascii="맑은 고딕" w:cs="맑은 고딕" w:eastAsia="맑은 고딕" w:hAnsi="맑은 고딕"/>
        </w:rPr>
        <w:t xml:space="preserve">4.6 각 부서 담당자</w:t>
      </w:r>
    </w:p>
    <w:p>
      <w:pPr>
        <w:spacing w:after="120" w:line="360"/>
        <w:ind w:left="720" w:hanging="240"/>
      </w:pPr>
      <w:r>
        <w:rPr>
          <w:color w:val="333333"/>
          <w:sz w:val="20"/>
          <w:szCs w:val="20"/>
          <w:rFonts w:ascii="맑은 고딕" w:cs="맑은 고딕" w:eastAsia="맑은 고딕" w:hAnsi="맑은 고딕"/>
        </w:rPr>
        <w:t xml:space="preserve">a) 담당 업무 영역에서 발생하는 환경측면을 일상적으로 관찰·기록하고, 이상 발생 시 즉시 상위자에게 보고한다.</w:t>
      </w:r>
    </w:p>
    <w:p>
      <w:pPr>
        <w:spacing w:after="120" w:line="360"/>
        <w:ind w:left="720" w:hanging="240"/>
      </w:pPr>
      <w:r>
        <w:rPr>
          <w:color w:val="333333"/>
          <w:sz w:val="20"/>
          <w:szCs w:val="20"/>
          <w:rFonts w:ascii="맑은 고딕" w:cs="맑은 고딕" w:eastAsia="맑은 고딕" w:hAnsi="맑은 고딕"/>
        </w:rPr>
        <w:t xml:space="preserve">b) 환경측면 파악 활동 시 환경안전팀의 요청에 따라 관련 데이터(에너지 사용량, 폐기물 배출량, 화학물질 사용량 등)를 제공한다.</w:t>
      </w:r>
    </w:p>
    <w:p>
      <w:pPr>
        <w:spacing w:after="120" w:line="360"/>
        <w:ind w:left="720" w:hanging="240"/>
      </w:pPr>
      <w:r>
        <w:rPr>
          <w:color w:val="333333"/>
          <w:sz w:val="20"/>
          <w:szCs w:val="20"/>
          <w:rFonts w:ascii="맑은 고딕" w:cs="맑은 고딕" w:eastAsia="맑은 고딕" w:hAnsi="맑은 고딕"/>
        </w:rPr>
        <w:t xml:space="preserve">c) 중대한 환경측면 관리를 위한 일상 운영기준을 숙지하고, 운영관리 절차를 준수한다.</w:t>
      </w:r>
    </w:p>
    <w:p>
      <w:pPr>
        <w:pStyle w:val="Heading1"/>
        <w:spacing w:before="480" w:after="240"/>
      </w:pPr>
      <w:r>
        <w:rPr>
          <w:b/>
          <w:bCs/>
          <w:color w:val="1F2937"/>
          <w:sz w:val="28"/>
          <w:szCs w:val="28"/>
          <w:rFonts w:ascii="맑은 고딕" w:cs="맑은 고딕" w:eastAsia="맑은 고딕" w:hAnsi="맑은 고딕"/>
        </w:rPr>
        <w:t xml:space="preserve">5. 절차</w:t>
      </w:r>
    </w:p>
    <w:p>
      <w:pPr>
        <w:spacing w:after="120" w:line="360"/>
      </w:pPr>
      <w:r>
        <w:rPr>
          <w:color w:val="333333"/>
          <w:sz w:val="20"/>
          <w:szCs w:val="20"/>
          <w:rFonts w:ascii="맑은 고딕" w:cs="맑은 고딕" w:eastAsia="맑은 고딕" w:hAnsi="맑은 고딕"/>
        </w:rPr>
        <w:t xml:space="preserve">본 절차는 환경측면 파악, 환경영향 평가, 중대성 평가 및 중대한 환경측면 결정, 문서화 및 관리의 4단계로 구성된다. 환경측면 파악 단계에서는 전과정 관점을 적용하여 원재료 획득부터 최종 폐기까지 모든 단계의 환경측면을 식별하며, 정상·비정상·비상사태 조건을 모두 고려한다. 환경영향 평가 단계에서는 파악된 환경측면이 환경에 미치는 영향의 종류와 정도를 분석한다. 중대성 평가 단계에서는 정량화된 기준(환경측면 점수 × 환경영향 점수)을 적용하여 중대한 환경측면을 결정하고, 우선순위를 부여한다. 문서화 및 관리 단계에서는 평가 결과를 문서화된 정보로 유지하고, 중대한 환경측면에 대한 관리방안을 수립하며, 정기 및 수시 검토를 통해 최신성을 유지한다. 각 단계는 환경안전팀이 주관하며, 생산팀, 품질팀, 경영지원팀이 협력하여 수행한다.</w:t>
      </w:r>
    </w:p>
    <w:p>
      <w:pPr>
        <w:pStyle w:val="Heading2"/>
        <w:spacing w:before="240" w:after="160"/>
      </w:pPr>
      <w:r>
        <w:rPr>
          <w:b/>
          <w:bCs/>
          <w:color w:val="1F2937"/>
          <w:sz w:val="24"/>
          <w:szCs w:val="24"/>
          <w:rFonts w:ascii="맑은 고딕" w:cs="맑은 고딕" w:eastAsia="맑은 고딕" w:hAnsi="맑은 고딕"/>
        </w:rPr>
        <w:t xml:space="preserve">환경측면 파악</w:t>
      </w:r>
    </w:p>
    <w:p>
      <w:pPr>
        <w:spacing w:after="120" w:line="360"/>
        <w:ind w:left="480" w:hanging="240"/>
      </w:pPr>
      <w:r>
        <w:rPr>
          <w:color w:val="333333"/>
          <w:sz w:val="20"/>
          <w:szCs w:val="20"/>
          <w:rFonts w:ascii="맑은 고딕" w:cs="맑은 고딕" w:eastAsia="맑은 고딕" w:hAnsi="맑은 고딕"/>
        </w:rPr>
        <w:t xml:space="preserve">5.1.1 전과정 단계 식별 (담당: 환경안전팀)</w:t>
      </w:r>
    </w:p>
    <w:p>
      <w:pPr>
        <w:spacing w:after="120" w:line="360"/>
        <w:ind w:left="480" w:hanging="0"/>
      </w:pPr>
      <w:r>
        <w:rPr>
          <w:color w:val="333333"/>
          <w:sz w:val="20"/>
          <w:szCs w:val="20"/>
          <w:rFonts w:ascii="맑은 고딕" w:cs="맑은 고딕" w:eastAsia="맑은 고딕" w:hAnsi="맑은 고딕"/>
        </w:rPr>
        <w:t xml:space="preserve">환경안전팀은 제품의 전과정을 다음 7단계로 구분하여 식별한다.</w:t>
      </w:r>
    </w:p>
    <w:p>
      <w:pPr>
        <w:spacing w:after="120" w:line="360"/>
        <w:ind w:left="720" w:hanging="240"/>
      </w:pPr>
      <w:r>
        <w:rPr>
          <w:color w:val="333333"/>
          <w:sz w:val="20"/>
          <w:szCs w:val="20"/>
          <w:rFonts w:ascii="맑은 고딕" w:cs="맑은 고딕" w:eastAsia="맑은 고딕" w:hAnsi="맑은 고딕"/>
        </w:rPr>
        <w:t xml:space="preserve">① 원재료 획득(Upstream): 플라스틱 원료(PP, ABS, PC 등) 채굴·정제, 첨가제(안료, 난연제, 가소제) 제조, 협력업체 생산 활동</w:t>
      </w:r>
    </w:p>
    <w:p>
      <w:pPr>
        <w:spacing w:after="120" w:line="360"/>
        <w:ind w:left="720" w:hanging="240"/>
      </w:pPr>
      <w:r>
        <w:rPr>
          <w:color w:val="333333"/>
          <w:sz w:val="20"/>
          <w:szCs w:val="20"/>
          <w:rFonts w:ascii="맑은 고딕" w:cs="맑은 고딕" w:eastAsia="맑은 고딕" w:hAnsi="맑은 고딕"/>
        </w:rPr>
        <w:t xml:space="preserve">② 설계: 에코그린산업(주)는 자체 설계를 수행하지 않으므로, 고객 제공 설계 사양에 따른 원재료 선택 및 공정 조건 결정 과정을 고려</w:t>
      </w:r>
    </w:p>
    <w:p>
      <w:pPr>
        <w:spacing w:after="120" w:line="360"/>
        <w:ind w:left="720" w:hanging="240"/>
      </w:pPr>
      <w:r>
        <w:rPr>
          <w:color w:val="333333"/>
          <w:sz w:val="20"/>
          <w:szCs w:val="20"/>
          <w:rFonts w:ascii="맑은 고딕" w:cs="맑은 고딕" w:eastAsia="맑은 고딕" w:hAnsi="맑은 고딕"/>
        </w:rPr>
        <w:t xml:space="preserve">③ 생산: 원재료 입고·보관, 사출성형(가열·냉각), 조립, 검사, 포장</w:t>
      </w:r>
    </w:p>
    <w:p>
      <w:pPr>
        <w:spacing w:after="120" w:line="360"/>
        <w:ind w:left="720" w:hanging="240"/>
      </w:pPr>
      <w:r>
        <w:rPr>
          <w:color w:val="333333"/>
          <w:sz w:val="20"/>
          <w:szCs w:val="20"/>
          <w:rFonts w:ascii="맑은 고딕" w:cs="맑은 고딕" w:eastAsia="맑은 고딕" w:hAnsi="맑은 고딕"/>
        </w:rPr>
        <w:t xml:space="preserve">④ 운송/납품: 제품 운송(트럭, 컨테이너), 포장재 사용</w:t>
      </w:r>
    </w:p>
    <w:p>
      <w:pPr>
        <w:spacing w:after="120" w:line="360"/>
        <w:ind w:left="720" w:hanging="240"/>
      </w:pPr>
      <w:r>
        <w:rPr>
          <w:color w:val="333333"/>
          <w:sz w:val="20"/>
          <w:szCs w:val="20"/>
          <w:rFonts w:ascii="맑은 고딕" w:cs="맑은 고딕" w:eastAsia="맑은 고딕" w:hAnsi="맑은 고딕"/>
        </w:rPr>
        <w:t xml:space="preserve">⑤ 사용: 최종 제품(자동차 내장재, 전자제품 하우징, 생활용품 등)의 고객 사용 단계 — 사용 중 VOC 방출, 내구성, 에너지 소비(전자제품의 경우)</w:t>
      </w:r>
    </w:p>
    <w:p>
      <w:pPr>
        <w:spacing w:after="120" w:line="360"/>
        <w:ind w:left="720" w:hanging="240"/>
      </w:pPr>
      <w:r>
        <w:rPr>
          <w:color w:val="333333"/>
          <w:sz w:val="20"/>
          <w:szCs w:val="20"/>
          <w:rFonts w:ascii="맑은 고딕" w:cs="맑은 고딕" w:eastAsia="맑은 고딕" w:hAnsi="맑은 고딕"/>
        </w:rPr>
        <w:t xml:space="preserve">⑥ 폐기 처리: 제품 수명 종료 후 분리수거, 재활용, 소각, 매립 경로</w:t>
      </w:r>
    </w:p>
    <w:p>
      <w:pPr>
        <w:spacing w:after="120" w:line="360"/>
        <w:ind w:left="720" w:hanging="240"/>
      </w:pPr>
      <w:r>
        <w:rPr>
          <w:color w:val="333333"/>
          <w:sz w:val="20"/>
          <w:szCs w:val="20"/>
          <w:rFonts w:ascii="맑은 고딕" w:cs="맑은 고딕" w:eastAsia="맑은 고딕" w:hAnsi="맑은 고딕"/>
        </w:rPr>
        <w:t xml:space="preserve">⑦ 최종 폐기: 매립지에서의 분해, 소각 시 대기오염물질 배출, 재활용 플라스틱의 품질 저하</w:t>
      </w:r>
    </w:p>
    <w:p>
      <w:pPr>
        <w:spacing w:after="120" w:line="360"/>
        <w:ind w:left="720" w:hanging="0"/>
      </w:pPr>
      <w:r>
        <w:rPr>
          <w:color w:val="333333"/>
          <w:sz w:val="20"/>
          <w:szCs w:val="20"/>
          <w:rFonts w:ascii="맑은 고딕" w:cs="맑은 고딕" w:eastAsia="맑은 고딕" w:hAnsi="맑은 고딕"/>
        </w:rPr>
        <w:t xml:space="preserve">각 단계는 「QF-022 환경측면 영향평가표」의 '전과정 단계' 컬럼에 기록한다.</w:t>
      </w:r>
    </w:p>
    <w:p>
      <w:pPr>
        <w:spacing w:after="120" w:line="360"/>
        <w:ind w:left="480" w:hanging="240"/>
      </w:pPr>
      <w:r>
        <w:rPr>
          <w:color w:val="333333"/>
          <w:sz w:val="20"/>
          <w:szCs w:val="20"/>
          <w:rFonts w:ascii="맑은 고딕" w:cs="맑은 고딕" w:eastAsia="맑은 고딕" w:hAnsi="맑은 고딕"/>
        </w:rPr>
        <w:t xml:space="preserve">5.1.2 운영조건별 환경측면 파악 (담당: 환경안전팀, 생산팀, 품질팀)</w:t>
      </w:r>
    </w:p>
    <w:p>
      <w:pPr>
        <w:spacing w:after="120" w:line="360"/>
        <w:ind w:left="480" w:hanging="240"/>
      </w:pPr>
      <w:r>
        <w:rPr>
          <w:color w:val="333333"/>
          <w:sz w:val="20"/>
          <w:szCs w:val="20"/>
          <w:rFonts w:ascii="맑은 고딕" w:cs="맑은 고딕" w:eastAsia="맑은 고딕" w:hAnsi="맑은 고딕"/>
        </w:rPr>
        <w:t xml:space="preserve">가) 정상 운영조건(Normal Operating Conditions)</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생산팀은 일상적 생산 활동에서 발생하는 환경측면을 파악한다.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투입물(Input): 전력(사출기, 냉각기, 조명), 플라스틱 원료, 용수(냉각수), 포장재</w:t>
      </w:r>
    </w:p>
    <w:p>
      <w:pPr>
        <w:pStyle w:val="ListParagraph"/>
        <w:numPr>
          <w:ilvl w:val="0"/>
          <w:numId w:val="2"/>
        </w:numPr>
        <w:spacing w:after="120" w:line="360"/>
      </w:pPr>
      <w:r>
        <w:rPr>
          <w:color w:val="333333"/>
          <w:sz w:val="20"/>
          <w:szCs w:val="20"/>
          <w:rFonts w:ascii="맑은 고딕" w:cs="맑은 고딕" w:eastAsia="맑은 고딕" w:hAnsi="맑은 고딕"/>
        </w:rPr>
        <w:t xml:space="preserve">배출물(Output): 폐플라스틱(불량품, 런너/스프루), 폐포장재, 생활폐기물, 냉각수 배출, 대기배출물(VOC, 분진), 소음</w:t>
      </w:r>
    </w:p>
    <w:p>
      <w:pPr>
        <w:pStyle w:val="ListParagraph"/>
        <w:numPr>
          <w:ilvl w:val="0"/>
          <w:numId w:val="2"/>
        </w:numPr>
        <w:spacing w:after="120" w:line="360"/>
      </w:pPr>
      <w:r>
        <w:rPr>
          <w:color w:val="333333"/>
          <w:sz w:val="20"/>
          <w:szCs w:val="20"/>
          <w:rFonts w:ascii="맑은 고딕" w:cs="맑은 고딕" w:eastAsia="맑은 고딕" w:hAnsi="맑은 고딕"/>
        </w:rPr>
        <w:t xml:space="preserve">품질팀은 검사 및 부적합품 처리 과정의 환경측면을 파악한다.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부적합품 재작업 시 추가 전력·원료 소비, 폐기 시 폐기물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경영지원팀은 사무 활동(전력, 용수, 종이, 폐기물)과 차량 운행(연료, 배기가스)의 환경측면을 파악한다.</w:t>
      </w:r>
    </w:p>
    <w:p>
      <w:pPr>
        <w:spacing w:after="120" w:line="360"/>
        <w:ind w:left="480" w:hanging="240"/>
      </w:pPr>
      <w:r>
        <w:rPr>
          <w:color w:val="333333"/>
          <w:sz w:val="20"/>
          <w:szCs w:val="20"/>
          <w:rFonts w:ascii="맑은 고딕" w:cs="맑은 고딕" w:eastAsia="맑은 고딕" w:hAnsi="맑은 고딕"/>
        </w:rPr>
        <w:t xml:space="preserve">나) 비정상 운영조건(Abnormal Operating Conditions)</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생산팀은 설비 가동 중지, 시운전, 청소, 보수 작업 시 환경측면을 파악한다.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설비 세척 시 세척제 사용 및 폐수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시운전 시 불량률 증가에 따른 폐기물 증가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금형 교체 시 윤활유 사용 및 폐유 발생</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비정상 운영조건 발생 빈도와 환경측면 규모를 기록하여 평가에 반영한다.</w:t>
      </w:r>
    </w:p>
    <w:p>
      <w:pPr>
        <w:spacing w:after="120" w:line="360"/>
        <w:ind w:left="480" w:hanging="240"/>
      </w:pPr>
      <w:r>
        <w:rPr>
          <w:color w:val="333333"/>
          <w:sz w:val="20"/>
          <w:szCs w:val="20"/>
          <w:rFonts w:ascii="맑은 고딕" w:cs="맑은 고딕" w:eastAsia="맑은 고딕" w:hAnsi="맑은 고딕"/>
        </w:rPr>
        <w:t xml:space="preserve">다) 비상사태 및 잠재적 비상사태(Emergency and Potential Emergency Situations)</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EP-003 『비상사태 대비 및 대응 절차서』에 정의된 비상사태 시나리오를 검토하고, 각 시나리오별 환경측면을 파악한다.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화재: 소방수 사용 → 소방수의 토양·수질 오염, 소화약제(분말, 포) 배출</w:t>
      </w:r>
    </w:p>
    <w:p>
      <w:pPr>
        <w:pStyle w:val="ListParagraph"/>
        <w:numPr>
          <w:ilvl w:val="0"/>
          <w:numId w:val="2"/>
        </w:numPr>
        <w:spacing w:after="120" w:line="360"/>
      </w:pPr>
      <w:r>
        <w:rPr>
          <w:color w:val="333333"/>
          <w:sz w:val="20"/>
          <w:szCs w:val="20"/>
          <w:rFonts w:ascii="맑은 고딕" w:cs="맑은 고딕" w:eastAsia="맑은 고딕" w:hAnsi="맑은 고딕"/>
        </w:rPr>
        <w:t xml:space="preserve">유류 누출: 보일러유, 윤활유 저장탱크 파손 → 토양·지하수 오염</w:t>
      </w:r>
    </w:p>
    <w:p>
      <w:pPr>
        <w:pStyle w:val="ListParagraph"/>
        <w:numPr>
          <w:ilvl w:val="0"/>
          <w:numId w:val="2"/>
        </w:numPr>
        <w:spacing w:after="120" w:line="360"/>
      </w:pPr>
      <w:r>
        <w:rPr>
          <w:color w:val="333333"/>
          <w:sz w:val="20"/>
          <w:szCs w:val="20"/>
          <w:rFonts w:ascii="맑은 고딕" w:cs="맑은 고딕" w:eastAsia="맑은 고딕" w:hAnsi="맑은 고딕"/>
        </w:rPr>
        <w:t xml:space="preserve">화학물질 유출: 첨가제, 세척제 용기 파손 → 토양 오염, 대기 중 VOC 확산</w:t>
      </w:r>
    </w:p>
    <w:p>
      <w:pPr>
        <w:pStyle w:val="ListParagraph"/>
        <w:numPr>
          <w:ilvl w:val="0"/>
          <w:numId w:val="2"/>
        </w:numPr>
        <w:spacing w:after="120" w:line="360"/>
      </w:pPr>
      <w:r>
        <w:rPr>
          <w:color w:val="333333"/>
          <w:sz w:val="20"/>
          <w:szCs w:val="20"/>
          <w:rFonts w:ascii="맑은 고딕" w:cs="맑은 고딕" w:eastAsia="맑은 고딕" w:hAnsi="맑은 고딕"/>
        </w:rPr>
        <w:t xml:space="preserve">폭우·태풍: 우수 범람 시 폐기물 보관장소 침수 → 폐기물 유실, 수질 오염</w:t>
      </w:r>
    </w:p>
    <w:p>
      <w:pPr>
        <w:pStyle w:val="ListParagraph"/>
        <w:numPr>
          <w:ilvl w:val="0"/>
          <w:numId w:val="2"/>
        </w:numPr>
        <w:spacing w:after="120" w:line="360"/>
      </w:pPr>
      <w:r>
        <w:rPr>
          <w:color w:val="333333"/>
          <w:sz w:val="20"/>
          <w:szCs w:val="20"/>
          <w:rFonts w:ascii="맑은 고딕" w:cs="맑은 고딕" w:eastAsia="맑은 고딕" w:hAnsi="맑은 고딕"/>
        </w:rPr>
        <w:t xml:space="preserve">각 시나리오는 「QF-022 환경측면 영향평가표」에 별도 행으로 추가하며, '운영조건' 컬럼에 '비상사태'로 표기한다.</w:t>
      </w:r>
    </w:p>
    <w:p>
      <w:pPr>
        <w:spacing w:after="120" w:line="360"/>
        <w:ind w:left="480" w:hanging="240"/>
      </w:pPr>
      <w:r>
        <w:rPr>
          <w:color w:val="333333"/>
          <w:sz w:val="20"/>
          <w:szCs w:val="20"/>
          <w:rFonts w:ascii="맑은 고딕" w:cs="맑은 고딕" w:eastAsia="맑은 고딕" w:hAnsi="맑은 고딕"/>
        </w:rPr>
        <w:t xml:space="preserve">5.1.3 Upstream 및 Downstream 환경측면 파악 (담당: 경영지원팀, 환경안전팀)</w:t>
      </w:r>
    </w:p>
    <w:p>
      <w:pPr>
        <w:spacing w:after="120" w:line="360"/>
        <w:ind w:left="480" w:hanging="240"/>
      </w:pPr>
      <w:r>
        <w:rPr>
          <w:color w:val="333333"/>
          <w:sz w:val="20"/>
          <w:szCs w:val="20"/>
          <w:rFonts w:ascii="맑은 고딕" w:cs="맑은 고딕" w:eastAsia="맑은 고딕" w:hAnsi="맑은 고딕"/>
        </w:rPr>
        <w:t xml:space="preserve">가) Upstream(원재료 공급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경영지원팀은 주요 협력업체(플라스틱 원료, 첨가제, 포장재 공급업체)의 환경측면 정보를 수집한다.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원료 채굴·정제 과정의 온실가스 배출, 수자원 소비</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협력업체의 환경인증(ISO 14001, 에코라벨 등) 보유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재활용 원료(PCR, Post-Consumer Recycled) 공급 가능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협력업체 평가 기준(QF-016 협력업체 평가표)에 환경 항목을 반영하여, Upstream 환경측면을 간접 관리한다.</w:t>
      </w:r>
    </w:p>
    <w:p>
      <w:pPr>
        <w:spacing w:after="120" w:line="360"/>
        <w:ind w:left="480" w:hanging="240"/>
      </w:pPr>
      <w:r>
        <w:rPr>
          <w:color w:val="333333"/>
          <w:sz w:val="20"/>
          <w:szCs w:val="20"/>
          <w:rFonts w:ascii="맑은 고딕" w:cs="맑은 고딕" w:eastAsia="맑은 고딕" w:hAnsi="맑은 고딕"/>
        </w:rPr>
        <w:t xml:space="preserve">나) Downstream(제품 사용 및 폐기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최종 제품 용도별 환경영향을 파악한다.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자동차 내장재: 차량 사용 중 고온에서 VOC 방출(실내 공기질 영향), 폐차 시 플라스틱 분리수거 용이성, 재활용 가능 소재 사용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전자제품 하우징: 사용 후 전자폐기물 처리 경로, 재활용 업체의 플라스틱 선별·재활용 기술 수준, 난연제 함유 시 재활용 제약</w:t>
      </w:r>
    </w:p>
    <w:p>
      <w:pPr>
        <w:pStyle w:val="ListParagraph"/>
        <w:numPr>
          <w:ilvl w:val="0"/>
          <w:numId w:val="2"/>
        </w:numPr>
        <w:spacing w:after="120" w:line="360"/>
      </w:pPr>
      <w:r>
        <w:rPr>
          <w:color w:val="333333"/>
          <w:sz w:val="20"/>
          <w:szCs w:val="20"/>
          <w:rFonts w:ascii="맑은 고딕" w:cs="맑은 고딕" w:eastAsia="맑은 고딕" w:hAnsi="맑은 고딕"/>
        </w:rPr>
        <w:t xml:space="preserve">생활용품(용기, 케이스): 1회용 플라스틱 규제 대상 여부, 재활용 표시(삼각형 화살표 번호) 적용, 분리배출 용이성</w:t>
      </w:r>
    </w:p>
    <w:p>
      <w:pPr>
        <w:pStyle w:val="ListParagraph"/>
        <w:numPr>
          <w:ilvl w:val="0"/>
          <w:numId w:val="2"/>
        </w:numPr>
        <w:spacing w:after="120" w:line="360"/>
      </w:pPr>
      <w:r>
        <w:rPr>
          <w:color w:val="333333"/>
          <w:sz w:val="20"/>
          <w:szCs w:val="20"/>
          <w:rFonts w:ascii="맑은 고딕" w:cs="맑은 고딕" w:eastAsia="맑은 고딕" w:hAnsi="맑은 고딕"/>
        </w:rPr>
        <w:t xml:space="preserve">품질팀은 고객으로부터 제품 사용 단계 피드백(내구성, 환경 이슈 등)을 수집하여 환경안전팀에 제공한다.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경영지원팀은 폐기물 수집운반·처리업체의 재활용률, 최종 처리 방법(소각, 매립, 재활용)을 확인하여 환경안전팀에 보고한다.</w:t>
      </w:r>
    </w:p>
    <w:p>
      <w:pPr>
        <w:spacing w:after="120" w:line="360"/>
        <w:ind w:left="480" w:hanging="240"/>
      </w:pPr>
      <w:r>
        <w:rPr>
          <w:color w:val="333333"/>
          <w:sz w:val="20"/>
          <w:szCs w:val="20"/>
          <w:rFonts w:ascii="맑은 고딕" w:cs="맑은 고딕" w:eastAsia="맑은 고딕" w:hAnsi="맑은 고딕"/>
        </w:rPr>
        <w:t xml:space="preserve">5.1.4 환경측면 목록 작성 (담당: 환경안전팀)</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환경안전팀은 5.1.1~5.1.3에서 파악한 모든 환경측면을 「QF-022 환경측면 영향평가표」에 다음 항목으로 기록한다.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부서/공정명: 생산팀(사출성형, 조립), 품질팀(검사), 경영지원팀(구매, 사무), 협력업체, 고객 사용 단계 등</w:t>
      </w:r>
    </w:p>
    <w:p>
      <w:pPr>
        <w:pStyle w:val="ListParagraph"/>
        <w:numPr>
          <w:ilvl w:val="0"/>
          <w:numId w:val="2"/>
        </w:numPr>
        <w:spacing w:after="120" w:line="360"/>
      </w:pPr>
      <w:r>
        <w:rPr>
          <w:color w:val="333333"/>
          <w:sz w:val="20"/>
          <w:szCs w:val="20"/>
          <w:rFonts w:ascii="맑은 고딕" w:cs="맑은 고딕" w:eastAsia="맑은 고딕" w:hAnsi="맑은 고딕"/>
        </w:rPr>
        <w:t xml:space="preserve">활동/제품/서비스: 구체적 활동명(예: 사출성형, 원료 보관, 제품 포장, 폐기물 위탁처리)</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전과정 단계: 원재료 획득, 설계, 생산, 운송/납품, 사용, 폐기 처리, 최종 폐기 중 해당 단계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운영조건: 정상, 비정상, 비상사태</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환경과 상호작용하는 요소(예: 전력 소비, 플라스틱 원료 투입, 폐플라스틱 배출, VOC 배출, 소음 발생, 냉각수 사용)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환경영향: 해당 환경측면이 환경에 미치는 영향(예: 온실가스 배출, 자원 고갈, 토양 오염, 수질 오염, 대기질 악화, 소음 피해)</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 목록은 최소 연 1회(매년 1월) 정기 업데이트하며, 공정 변경·신규 설비 도입·법규 변경 시 수시 업데이트한다.</w:t>
      </w:r>
    </w:p>
    <w:p>
      <w:pPr>
        <w:pStyle w:val="Heading2"/>
        <w:spacing w:before="240" w:after="160"/>
      </w:pPr>
      <w:r>
        <w:rPr>
          <w:b/>
          <w:bCs/>
          <w:color w:val="1F2937"/>
          <w:sz w:val="24"/>
          <w:szCs w:val="24"/>
          <w:rFonts w:ascii="맑은 고딕" w:cs="맑은 고딕" w:eastAsia="맑은 고딕" w:hAnsi="맑은 고딕"/>
        </w:rPr>
        <w:t xml:space="preserve">환경영향 평가</w:t>
      </w:r>
    </w:p>
    <w:p>
      <w:pPr>
        <w:spacing w:after="120" w:line="360"/>
        <w:ind w:left="480" w:hanging="240"/>
      </w:pPr>
      <w:r>
        <w:rPr>
          <w:color w:val="333333"/>
          <w:sz w:val="20"/>
          <w:szCs w:val="20"/>
          <w:rFonts w:ascii="맑은 고딕" w:cs="맑은 고딕" w:eastAsia="맑은 고딕" w:hAnsi="맑은 고딕"/>
        </w:rPr>
        <w:t xml:space="preserve">5.2.1 환경영향 분류 (담당: 환경안전팀)</w:t>
      </w:r>
    </w:p>
    <w:p>
      <w:pPr>
        <w:spacing w:after="120" w:line="360"/>
        <w:ind w:left="480" w:hanging="0"/>
      </w:pPr>
      <w:r>
        <w:rPr>
          <w:color w:val="333333"/>
          <w:sz w:val="20"/>
          <w:szCs w:val="20"/>
          <w:rFonts w:ascii="맑은 고딕" w:cs="맑은 고딕" w:eastAsia="맑은 고딕" w:hAnsi="맑은 고딕"/>
        </w:rPr>
        <w:t xml:space="preserve">환경안전팀은 5.1에서 파악한 각 환경측면에 대해 발생 가능한 환경영향을 다음과 같이 분류한다.</w:t>
      </w:r>
    </w:p>
    <w:p>
      <w:pPr>
        <w:spacing w:after="120" w:line="360"/>
        <w:ind w:left="720" w:hanging="240"/>
      </w:pPr>
      <w:r>
        <w:rPr>
          <w:color w:val="333333"/>
          <w:sz w:val="20"/>
          <w:szCs w:val="20"/>
          <w:rFonts w:ascii="맑은 고딕" w:cs="맑은 고딕" w:eastAsia="맑은 고딕" w:hAnsi="맑은 고딕"/>
        </w:rPr>
        <w:t xml:space="preserve">① 기후변화: 온실가스(CO₂, CH₄, N₂O) 배출에 따른 지구온난화 기여 (예: 전력 소비, 연료 연소, 운송)</w:t>
      </w:r>
    </w:p>
    <w:p>
      <w:pPr>
        <w:spacing w:after="120" w:line="360"/>
        <w:ind w:left="720" w:hanging="240"/>
      </w:pPr>
      <w:r>
        <w:rPr>
          <w:color w:val="333333"/>
          <w:sz w:val="20"/>
          <w:szCs w:val="20"/>
          <w:rFonts w:ascii="맑은 고딕" w:cs="맑은 고딕" w:eastAsia="맑은 고딕" w:hAnsi="맑은 고딕"/>
        </w:rPr>
        <w:t xml:space="preserve">② 자원 고갈: 비재생 자원(석유 기반 플라스틱, 화석연료) 소비, 수자원 소비 (예: 원료 투입, 용수 사용)</w:t>
      </w:r>
    </w:p>
    <w:p>
      <w:pPr>
        <w:spacing w:after="120" w:line="360"/>
        <w:ind w:left="720" w:hanging="240"/>
      </w:pPr>
      <w:r>
        <w:rPr>
          <w:color w:val="333333"/>
          <w:sz w:val="20"/>
          <w:szCs w:val="20"/>
          <w:rFonts w:ascii="맑은 고딕" w:cs="맑은 고딕" w:eastAsia="맑은 고딕" w:hAnsi="맑은 고딕"/>
        </w:rPr>
        <w:t xml:space="preserve">③ 토양 오염: 유해물질(유류, 화학물질) 누출에 따른 토양 오염 (예: 비상사태 시 유류 누출, 폐기물 부적절 보관)</w:t>
      </w:r>
    </w:p>
    <w:p>
      <w:pPr>
        <w:spacing w:after="120" w:line="360"/>
        <w:ind w:left="720" w:hanging="240"/>
      </w:pPr>
      <w:r>
        <w:rPr>
          <w:color w:val="333333"/>
          <w:sz w:val="20"/>
          <w:szCs w:val="20"/>
          <w:rFonts w:ascii="맑은 고딕" w:cs="맑은 고딕" w:eastAsia="맑은 고딕" w:hAnsi="맑은 고딕"/>
        </w:rPr>
        <w:t xml:space="preserve">④ 수질 오염: 폐수 배출, 냉각수 오염물질 함유, 소방수 유출 (예: 냉각수 배출, 화재 시 소방수)</w:t>
      </w:r>
    </w:p>
    <w:p>
      <w:pPr>
        <w:spacing w:after="120" w:line="360"/>
        <w:ind w:left="720" w:hanging="240"/>
      </w:pPr>
      <w:r>
        <w:rPr>
          <w:color w:val="333333"/>
          <w:sz w:val="20"/>
          <w:szCs w:val="20"/>
          <w:rFonts w:ascii="맑은 고딕" w:cs="맑은 고딕" w:eastAsia="맑은 고딕" w:hAnsi="맑은 고딕"/>
        </w:rPr>
        <w:t xml:space="preserve">⑤ 대기질 악화: 대기오염물질(VOC, 분진, 악취) 배출 (예: 사출성형 시 열분해 가스, 차량 배기가스)</w:t>
      </w:r>
    </w:p>
    <w:p>
      <w:pPr>
        <w:spacing w:after="120" w:line="360"/>
        <w:ind w:left="720" w:hanging="240"/>
      </w:pPr>
      <w:r>
        <w:rPr>
          <w:color w:val="333333"/>
          <w:sz w:val="20"/>
          <w:szCs w:val="20"/>
          <w:rFonts w:ascii="맑은 고딕" w:cs="맑은 고딕" w:eastAsia="맑은 고딕" w:hAnsi="맑은 고딕"/>
        </w:rPr>
        <w:t xml:space="preserve">⑥ 소음·진동: 설비 운전 소음, 운송 차량 소음 (예: 사출기 작동 소음, 포크리프트 운행)</w:t>
      </w:r>
    </w:p>
    <w:p>
      <w:pPr>
        <w:spacing w:after="120" w:line="360"/>
        <w:ind w:left="720" w:hanging="240"/>
      </w:pPr>
      <w:r>
        <w:rPr>
          <w:color w:val="333333"/>
          <w:sz w:val="20"/>
          <w:szCs w:val="20"/>
          <w:rFonts w:ascii="맑은 고딕" w:cs="맑은 고딕" w:eastAsia="맑은 고딕" w:hAnsi="맑은 고딕"/>
        </w:rPr>
        <w:t xml:space="preserve">⑦ 폐기물: 폐기물 발생 및 부적절한 처리에 따른 2차 오염 (예: 폐플라스틱, 폐포장재, 생활폐기물)</w:t>
      </w:r>
    </w:p>
    <w:p>
      <w:pPr>
        <w:spacing w:after="120" w:line="360"/>
        <w:ind w:left="720" w:hanging="240"/>
      </w:pPr>
      <w:r>
        <w:rPr>
          <w:color w:val="333333"/>
          <w:sz w:val="20"/>
          <w:szCs w:val="20"/>
          <w:rFonts w:ascii="맑은 고딕" w:cs="맑은 고딕" w:eastAsia="맑은 고딕" w:hAnsi="맑은 고딕"/>
        </w:rPr>
        <w:t xml:space="preserve">⑧ 생물다양성: 원재료 채굴 시 서식지 파괴, 폐기물 매립지 생태계 영향 (간접 영향, Upstream/Downstream)</w:t>
      </w:r>
    </w:p>
    <w:p>
      <w:pPr>
        <w:spacing w:after="120" w:line="360"/>
        <w:ind w:left="720" w:hanging="0"/>
      </w:pPr>
      <w:r>
        <w:rPr>
          <w:color w:val="333333"/>
          <w:sz w:val="20"/>
          <w:szCs w:val="20"/>
          <w:rFonts w:ascii="맑은 고딕" w:cs="맑은 고딕" w:eastAsia="맑은 고딕" w:hAnsi="맑은 고딕"/>
        </w:rPr>
        <w:t xml:space="preserve">각 환경영향은 「QF-022 환경측면 영향평가표」의 '환경영향' 컬럼에 기록한다.</w:t>
      </w:r>
    </w:p>
    <w:p>
      <w:pPr>
        <w:spacing w:after="120" w:line="360"/>
        <w:ind w:left="480" w:hanging="240"/>
      </w:pPr>
      <w:r>
        <w:rPr>
          <w:color w:val="333333"/>
          <w:sz w:val="20"/>
          <w:szCs w:val="20"/>
          <w:rFonts w:ascii="맑은 고딕" w:cs="맑은 고딕" w:eastAsia="맑은 고딕" w:hAnsi="맑은 고딕"/>
        </w:rPr>
        <w:t xml:space="preserve">5.2.2 법규 준수 사항 확인 (담당: 환경안전팀)</w:t>
      </w:r>
    </w:p>
    <w:p>
      <w:pPr>
        <w:spacing w:after="120" w:line="360"/>
        <w:ind w:left="480" w:hanging="0"/>
      </w:pPr>
      <w:r>
        <w:rPr>
          <w:color w:val="333333"/>
          <w:sz w:val="20"/>
          <w:szCs w:val="20"/>
          <w:rFonts w:ascii="맑은 고딕" w:cs="맑은 고딕" w:eastAsia="맑은 고딕" w:hAnsi="맑은 고딕"/>
        </w:rPr>
        <w:t xml:space="preserve">환경안전팀은 EP-002 『환경 법규 파악 및 준수평가 절차서』에 따라 작성된 「QF-025 법규 등록부」를 참조하여, 각 환경측면이 관련 법규(대기환경보전법, 물환경보전법, 폐기물관리법, 소음·진동관리법, 화학물질관리법 등)의 적용 대상인지 확인한다.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적용 대상 환경측면은 '법규 관련성' 컬럼에 관련 법규명과 조항을 기재한다.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위반 시 처벌 수준(과태료, 영업정지, 형사처벌)을 참고하여 중대성 평가에 반영한다.</w:t>
      </w:r>
    </w:p>
    <w:p>
      <w:pPr>
        <w:spacing w:after="120" w:line="360"/>
        <w:ind w:left="480" w:hanging="240"/>
      </w:pPr>
      <w:r>
        <w:rPr>
          <w:color w:val="333333"/>
          <w:sz w:val="20"/>
          <w:szCs w:val="20"/>
          <w:rFonts w:ascii="맑은 고딕" w:cs="맑은 고딕" w:eastAsia="맑은 고딕" w:hAnsi="맑은 고딕"/>
        </w:rPr>
        <w:t xml:space="preserve">5.2.3 이해관계자 관심사항 확인 (담당: 환경안전팀, 경영지원팀)</w:t>
      </w:r>
    </w:p>
    <w:p>
      <w:pPr>
        <w:spacing w:after="120" w:line="360"/>
        <w:ind w:left="480" w:hanging="0"/>
      </w:pPr>
      <w:r>
        <w:rPr>
          <w:color w:val="333333"/>
          <w:sz w:val="20"/>
          <w:szCs w:val="20"/>
          <w:rFonts w:ascii="맑은 고딕" w:cs="맑은 고딕" w:eastAsia="맑은 고딕" w:hAnsi="맑은 고딕"/>
        </w:rPr>
        <w:t xml:space="preserve">환경안전팀은 내외부 이해관계자의 환경 관심사항을 다음 경로로 수집한다.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요구사항: 품질팀을 통해 고객의 환경 사양(재활용 소재 사용 요구, VOC 저감 요구, 환경라벨 요구 등) 확인</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지역사회: 민원 발생 이력(소음, 악취 등) 검토, 지자체 환경정책 동향 파악</w:t>
      </w:r>
    </w:p>
    <w:p>
      <w:pPr>
        <w:pStyle w:val="ListParagraph"/>
        <w:numPr>
          <w:ilvl w:val="0"/>
          <w:numId w:val="2"/>
        </w:numPr>
        <w:spacing w:after="120" w:line="360"/>
      </w:pPr>
      <w:r>
        <w:rPr>
          <w:color w:val="333333"/>
          <w:sz w:val="20"/>
          <w:szCs w:val="20"/>
          <w:rFonts w:ascii="맑은 고딕" w:cs="맑은 고딕" w:eastAsia="맑은 고딕" w:hAnsi="맑은 고딕"/>
        </w:rPr>
        <w:t xml:space="preserve">협력업체: 환경인증 요구, 그린 구매 정책 반영 여부</w:t>
      </w:r>
    </w:p>
    <w:p>
      <w:pPr>
        <w:pStyle w:val="ListParagraph"/>
        <w:numPr>
          <w:ilvl w:val="0"/>
          <w:numId w:val="2"/>
        </w:numPr>
        <w:spacing w:after="120" w:line="360"/>
      </w:pPr>
      <w:r>
        <w:rPr>
          <w:color w:val="333333"/>
          <w:sz w:val="20"/>
          <w:szCs w:val="20"/>
          <w:rFonts w:ascii="맑은 고딕" w:cs="맑은 고딕" w:eastAsia="맑은 고딕" w:hAnsi="맑은 고딕"/>
        </w:rPr>
        <w:t xml:space="preserve">규제기관: 환경부, 지자체 환경 담당 부서의 지도·점검 결과, 권고사항</w:t>
      </w:r>
    </w:p>
    <w:p>
      <w:pPr>
        <w:spacing w:after="120" w:line="360"/>
        <w:ind w:left="960" w:hanging="0"/>
      </w:pPr>
      <w:r>
        <w:rPr>
          <w:color w:val="333333"/>
          <w:sz w:val="20"/>
          <w:szCs w:val="20"/>
          <w:rFonts w:ascii="맑은 고딕" w:cs="맑은 고딕" w:eastAsia="맑은 고딕" w:hAnsi="맑은 고딕"/>
        </w:rPr>
        <w:t xml:space="preserve">이해관계자 관심사항이 높은 환경측면은 중대성 평가 시 가중치를 부여한다.</w:t>
      </w:r>
    </w:p>
    <w:p>
      <w:pPr>
        <w:pStyle w:val="Heading2"/>
        <w:spacing w:before="240" w:after="160"/>
      </w:pPr>
      <w:r>
        <w:rPr>
          <w:b/>
          <w:bCs/>
          <w:color w:val="1F2937"/>
          <w:sz w:val="24"/>
          <w:szCs w:val="24"/>
          <w:rFonts w:ascii="맑은 고딕" w:cs="맑은 고딕" w:eastAsia="맑은 고딕" w:hAnsi="맑은 고딕"/>
        </w:rPr>
        <w:t xml:space="preserve">중대성 평가 및 중대한 환경측면 결정</w:t>
      </w:r>
    </w:p>
    <w:p>
      <w:pPr>
        <w:spacing w:after="120" w:line="360"/>
        <w:ind w:left="480" w:hanging="240"/>
      </w:pPr>
      <w:r>
        <w:rPr>
          <w:color w:val="333333"/>
          <w:sz w:val="20"/>
          <w:szCs w:val="20"/>
          <w:rFonts w:ascii="맑은 고딕" w:cs="맑은 고딕" w:eastAsia="맑은 고딕" w:hAnsi="맑은 고딕"/>
        </w:rPr>
        <w:t xml:space="preserve">5.3.1 평가 기준 수립 (담당: 환경안전팀)</w:t>
      </w:r>
    </w:p>
    <w:p>
      <w:pPr>
        <w:spacing w:after="120" w:line="360"/>
        <w:ind w:left="480" w:hanging="0"/>
      </w:pPr>
      <w:r>
        <w:rPr>
          <w:color w:val="333333"/>
          <w:sz w:val="20"/>
          <w:szCs w:val="20"/>
          <w:rFonts w:ascii="맑은 고딕" w:cs="맑은 고딕" w:eastAsia="맑은 고딕" w:hAnsi="맑은 고딕"/>
        </w:rPr>
        <w:t xml:space="preserve">환경안전팀은 중대한 환경측면을 결정하기 위해 다음의 정량화된 평가 기준을 적용한다. 평가 기준은 환경측면 점수(A)와 환경영향 점수(B)로 구성되며, 총점(A × B)이 기준값 이상인 경우 중대한 환경측면으로 분류한다.</w:t>
      </w:r>
    </w:p>
    <w:p>
      <w:pPr>
        <w:spacing w:after="120" w:line="360"/>
        <w:ind w:left="480" w:hanging="240"/>
      </w:pPr>
      <w:r>
        <w:rPr>
          <w:color w:val="333333"/>
          <w:sz w:val="20"/>
          <w:szCs w:val="20"/>
          <w:rFonts w:ascii="맑은 고딕" w:cs="맑은 고딕" w:eastAsia="맑은 고딕" w:hAnsi="맑은 고딕"/>
        </w:rPr>
        <w:t xml:space="preserve">가) 환경측면 점수(A) = 유형 + 규모 + 빈도 (최대 15점)</w:t>
      </w:r>
    </w:p>
    <w:p>
      <w:pPr>
        <w:spacing w:after="120" w:line="360"/>
        <w:ind w:left="720" w:hanging="240"/>
      </w:pPr>
      <w:r>
        <w:rPr>
          <w:color w:val="333333"/>
          <w:sz w:val="20"/>
          <w:szCs w:val="20"/>
          <w:rFonts w:ascii="맑은 고딕" w:cs="맑은 고딕" w:eastAsia="맑은 고딕" w:hAnsi="맑은 고딕"/>
        </w:rPr>
        <w:t xml:space="preserve">① 유형(Type): 환경측면의 성격</w:t>
      </w:r>
    </w:p>
    <w:p>
      <w:pPr>
        <w:pStyle w:val="ListParagraph"/>
        <w:numPr>
          <w:ilvl w:val="0"/>
          <w:numId w:val="2"/>
        </w:numPr>
        <w:spacing w:after="120" w:line="360"/>
      </w:pPr>
      <w:r>
        <w:rPr>
          <w:color w:val="333333"/>
          <w:sz w:val="20"/>
          <w:szCs w:val="20"/>
          <w:rFonts w:ascii="맑은 고딕" w:cs="맑은 고딕" w:eastAsia="맑은 고딕" w:hAnsi="맑은 고딕"/>
        </w:rPr>
        <w:t xml:space="preserve">직접 배출/소비(조직이 직접 통제):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간접 영향(Upstream/Downstream, 통제 가능):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간접 영향(통제 불가능): 1점</w:t>
      </w:r>
    </w:p>
    <w:p>
      <w:pPr>
        <w:spacing w:after="120" w:line="360"/>
        <w:ind w:left="720" w:hanging="240"/>
      </w:pPr>
      <w:r>
        <w:rPr>
          <w:color w:val="333333"/>
          <w:sz w:val="20"/>
          <w:szCs w:val="20"/>
          <w:rFonts w:ascii="맑은 고딕" w:cs="맑은 고딕" w:eastAsia="맑은 고딕" w:hAnsi="맑은 고딕"/>
        </w:rPr>
        <w:t xml:space="preserve">② 규모(Scale): 환경측면의 양적 크기</w:t>
      </w:r>
    </w:p>
    <w:p>
      <w:pPr>
        <w:pStyle w:val="ListParagraph"/>
        <w:numPr>
          <w:ilvl w:val="0"/>
          <w:numId w:val="2"/>
        </w:numPr>
        <w:spacing w:after="120" w:line="360"/>
      </w:pPr>
      <w:r>
        <w:rPr>
          <w:color w:val="333333"/>
          <w:sz w:val="20"/>
          <w:szCs w:val="20"/>
          <w:rFonts w:ascii="맑은 고딕" w:cs="맑은 고딕" w:eastAsia="맑은 고딕" w:hAnsi="맑은 고딕"/>
        </w:rPr>
        <w:t xml:space="preserve">대(월 10톤 이상 또는 법적 기준치의 80% 이상):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중(월 1~10톤 또는 법적 기준치의 50~80%):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소(월 1톤 미만 또는 법적 기준치의 50% 미만): 1점</w:t>
      </w:r>
    </w:p>
    <w:p>
      <w:pPr>
        <w:spacing w:after="120" w:line="360"/>
        <w:ind w:left="720" w:hanging="240"/>
      </w:pPr>
      <w:r>
        <w:rPr>
          <w:color w:val="333333"/>
          <w:sz w:val="20"/>
          <w:szCs w:val="20"/>
          <w:rFonts w:ascii="맑은 고딕" w:cs="맑은 고딕" w:eastAsia="맑은 고딕" w:hAnsi="맑은 고딕"/>
        </w:rPr>
        <w:t xml:space="preserve">③ 빈도(Frequency): 환경측면 발생 빈도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상시(일일):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주기적(주 1회 이상):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간헐적(월 1회 미만 또는 비상사태): 1점</w:t>
      </w:r>
    </w:p>
    <w:p>
      <w:pPr>
        <w:spacing w:after="120" w:line="360"/>
        <w:ind w:left="480" w:hanging="240"/>
      </w:pPr>
      <w:r>
        <w:rPr>
          <w:color w:val="333333"/>
          <w:sz w:val="20"/>
          <w:szCs w:val="20"/>
          <w:rFonts w:ascii="맑은 고딕" w:cs="맑은 고딕" w:eastAsia="맑은 고딕" w:hAnsi="맑은 고딕"/>
        </w:rPr>
        <w:t xml:space="preserve">나) 환경영향 점수(B) = 규모 + 심각성 + 지속기간 + 노출 (최대 20점)</w:t>
      </w:r>
    </w:p>
    <w:p>
      <w:pPr>
        <w:spacing w:after="120" w:line="360"/>
        <w:ind w:left="720" w:hanging="240"/>
      </w:pPr>
      <w:r>
        <w:rPr>
          <w:color w:val="333333"/>
          <w:sz w:val="20"/>
          <w:szCs w:val="20"/>
          <w:rFonts w:ascii="맑은 고딕" w:cs="맑은 고딕" w:eastAsia="맑은 고딕" w:hAnsi="맑은 고딕"/>
        </w:rPr>
        <w:t xml:space="preserve">① 규모(Magnitude): 환경영향의 범위</w:t>
      </w:r>
    </w:p>
    <w:p>
      <w:pPr>
        <w:pStyle w:val="ListParagraph"/>
        <w:numPr>
          <w:ilvl w:val="0"/>
          <w:numId w:val="2"/>
        </w:numPr>
        <w:spacing w:after="120" w:line="360"/>
      </w:pPr>
      <w:r>
        <w:rPr>
          <w:color w:val="333333"/>
          <w:sz w:val="20"/>
          <w:szCs w:val="20"/>
          <w:rFonts w:ascii="맑은 고딕" w:cs="맑은 고딕" w:eastAsia="맑은 고딕" w:hAnsi="맑은 고딕"/>
        </w:rPr>
        <w:t xml:space="preserve">광역(반경 5km 이상 또는 전국적):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지역(반경 1~5km 또는 시·군 단위):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국지(사업장 경계 내): 1점</w:t>
      </w:r>
    </w:p>
    <w:p>
      <w:pPr>
        <w:spacing w:after="120" w:line="360"/>
        <w:ind w:left="720" w:hanging="240"/>
      </w:pPr>
      <w:r>
        <w:rPr>
          <w:color w:val="333333"/>
          <w:sz w:val="20"/>
          <w:szCs w:val="20"/>
          <w:rFonts w:ascii="맑은 고딕" w:cs="맑은 고딕" w:eastAsia="맑은 고딕" w:hAnsi="맑은 고딕"/>
        </w:rPr>
        <w:t xml:space="preserve">② 심각성(Severity): 환경영향의 정도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고(법규 위반, 생태계 파괴, 인체 건강 위해):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중(법규 기준 근접, 일시적 생태계 교란):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저(법규 기준 대비 여유, 경미한 불편): 1점</w:t>
      </w:r>
    </w:p>
    <w:p>
      <w:pPr>
        <w:spacing w:after="120" w:line="360"/>
        <w:ind w:left="720" w:hanging="240"/>
      </w:pPr>
      <w:r>
        <w:rPr>
          <w:color w:val="333333"/>
          <w:sz w:val="20"/>
          <w:szCs w:val="20"/>
          <w:rFonts w:ascii="맑은 고딕" w:cs="맑은 고딕" w:eastAsia="맑은 고딕" w:hAnsi="맑은 고딕"/>
        </w:rPr>
        <w:t xml:space="preserve">③ 지속기간(Duration): 환경영향 지속 시간</w:t>
      </w:r>
    </w:p>
    <w:p>
      <w:pPr>
        <w:pStyle w:val="ListParagraph"/>
        <w:numPr>
          <w:ilvl w:val="0"/>
          <w:numId w:val="2"/>
        </w:numPr>
        <w:spacing w:after="120" w:line="360"/>
      </w:pPr>
      <w:r>
        <w:rPr>
          <w:color w:val="333333"/>
          <w:sz w:val="20"/>
          <w:szCs w:val="20"/>
          <w:rFonts w:ascii="맑은 고딕" w:cs="맑은 고딕" w:eastAsia="맑은 고딕" w:hAnsi="맑은 고딕"/>
        </w:rPr>
        <w:t xml:space="preserve">장기(1년 이상 지속, 회복 불가):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중기(1개월~1년, 회복 가능):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단기(1개월 미만, 즉시 회복): 1점</w:t>
      </w:r>
    </w:p>
    <w:p>
      <w:pPr>
        <w:spacing w:after="120" w:line="360"/>
        <w:ind w:left="720" w:hanging="240"/>
      </w:pPr>
      <w:r>
        <w:rPr>
          <w:color w:val="333333"/>
          <w:sz w:val="20"/>
          <w:szCs w:val="20"/>
          <w:rFonts w:ascii="맑은 고딕" w:cs="맑은 고딕" w:eastAsia="맑은 고딕" w:hAnsi="맑은 고딕"/>
        </w:rPr>
        <w:t xml:space="preserve">④ 노출(Exposure): 이해관계자 노출 정도</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고(다수 이해관계자, 민원 발생 이력): 5점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중(일부 이해관계자, 민원 가능성): 3점</w:t>
      </w:r>
    </w:p>
    <w:p>
      <w:pPr>
        <w:pStyle w:val="ListParagraph"/>
        <w:numPr>
          <w:ilvl w:val="0"/>
          <w:numId w:val="2"/>
        </w:numPr>
        <w:spacing w:after="120" w:line="360"/>
      </w:pPr>
      <w:r>
        <w:rPr>
          <w:color w:val="333333"/>
          <w:sz w:val="20"/>
          <w:szCs w:val="20"/>
          <w:rFonts w:ascii="맑은 고딕" w:cs="맑은 고딕" w:eastAsia="맑은 고딕" w:hAnsi="맑은 고딕"/>
        </w:rPr>
        <w:t xml:space="preserve">저(노출 최소, 민원 가능성 낮음): 1점</w:t>
      </w:r>
    </w:p>
    <w:p>
      <w:pPr>
        <w:spacing w:after="120" w:line="360"/>
        <w:ind w:left="480" w:hanging="240"/>
      </w:pPr>
      <w:r>
        <w:rPr>
          <w:color w:val="333333"/>
          <w:sz w:val="20"/>
          <w:szCs w:val="20"/>
          <w:rFonts w:ascii="맑은 고딕" w:cs="맑은 고딕" w:eastAsia="맑은 고딕" w:hAnsi="맑은 고딕"/>
        </w:rPr>
        <w:t xml:space="preserve">다) 중대성 판정 기준</w:t>
      </w:r>
    </w:p>
    <w:p>
      <w:pPr>
        <w:pStyle w:val="ListParagraph"/>
        <w:numPr>
          <w:ilvl w:val="0"/>
          <w:numId w:val="2"/>
        </w:numPr>
        <w:spacing w:after="120" w:line="360"/>
      </w:pPr>
      <w:r>
        <w:rPr>
          <w:color w:val="333333"/>
          <w:sz w:val="20"/>
          <w:szCs w:val="20"/>
          <w:rFonts w:ascii="맑은 고딕" w:cs="맑은 고딕" w:eastAsia="맑은 고딕" w:hAnsi="맑은 고딕"/>
        </w:rPr>
        <w:t xml:space="preserve">총점(A × B) ≥ 100점: 중대한 환경측면(Significant)</w:t>
      </w:r>
    </w:p>
    <w:p>
      <w:pPr>
        <w:pStyle w:val="ListParagraph"/>
        <w:numPr>
          <w:ilvl w:val="0"/>
          <w:numId w:val="2"/>
        </w:numPr>
        <w:spacing w:after="120" w:line="360"/>
      </w:pPr>
      <w:r>
        <w:rPr>
          <w:color w:val="333333"/>
          <w:sz w:val="20"/>
          <w:szCs w:val="20"/>
          <w:rFonts w:ascii="맑은 고딕" w:cs="맑은 고딕" w:eastAsia="맑은 고딕" w:hAnsi="맑은 고딕"/>
        </w:rPr>
        <w:t xml:space="preserve">총점 50~99점: 관리 필요 환경측면(Moderate)</w:t>
      </w:r>
    </w:p>
    <w:p>
      <w:pPr>
        <w:pStyle w:val="ListParagraph"/>
        <w:numPr>
          <w:ilvl w:val="0"/>
          <w:numId w:val="2"/>
        </w:numPr>
        <w:spacing w:after="120" w:line="360"/>
      </w:pPr>
      <w:r>
        <w:rPr>
          <w:color w:val="333333"/>
          <w:sz w:val="20"/>
          <w:szCs w:val="20"/>
          <w:rFonts w:ascii="맑은 고딕" w:cs="맑은 고딕" w:eastAsia="맑은 고딕" w:hAnsi="맑은 고딕"/>
        </w:rPr>
        <w:t xml:space="preserve">총점 &lt; 50점: 일반 환경측면(Minor)</w:t>
      </w:r>
    </w:p>
    <w:p>
      <w:pPr>
        <w:spacing w:after="120" w:line="360"/>
        <w:ind w:left="480" w:hanging="240"/>
      </w:pPr>
      <w:r>
        <w:rPr>
          <w:color w:val="333333"/>
          <w:sz w:val="20"/>
          <w:szCs w:val="20"/>
          <w:rFonts w:ascii="맑은 고딕" w:cs="맑은 고딕" w:eastAsia="맑은 고딕" w:hAnsi="맑은 고딕"/>
        </w:rPr>
        <w:t xml:space="preserve">5.3.2 평가 수행 (담당: 환경안전팀, 관련 부서)</w:t>
      </w:r>
    </w:p>
    <w:p>
      <w:pPr>
        <w:spacing w:after="120" w:line="360"/>
        <w:ind w:left="480" w:hanging="0"/>
      </w:pPr>
      <w:r>
        <w:rPr>
          <w:color w:val="333333"/>
          <w:sz w:val="20"/>
          <w:szCs w:val="20"/>
          <w:rFonts w:ascii="맑은 고딕" w:cs="맑은 고딕" w:eastAsia="맑은 고딕" w:hAnsi="맑은 고딕"/>
        </w:rPr>
        <w:t xml:space="preserve">환경안전팀은 「QF-022 환경측면 영향평가표」의 각 환경측면에 대해 5.3.1의 기준을 적용하여 점수를 부여한다.</w:t>
      </w:r>
    </w:p>
    <w:p>
      <w:pPr>
        <w:spacing w:after="120" w:line="360"/>
        <w:ind w:left="720" w:hanging="240"/>
      </w:pPr>
      <w:r>
        <w:rPr>
          <w:color w:val="333333"/>
          <w:sz w:val="20"/>
          <w:szCs w:val="20"/>
          <w:rFonts w:ascii="맑은 고딕" w:cs="맑은 고딕" w:eastAsia="맑은 고딕" w:hAnsi="맑은 고딕"/>
        </w:rPr>
        <w:t xml:space="preserve">① 환경안전팀은 각 환경측면의 유형, 규모, 빈도를 판단하여 환경측면 점수(A)를 계산한다.</w:t>
      </w:r>
    </w:p>
    <w:p>
      <w:pPr>
        <w:spacing w:after="120" w:line="360"/>
        <w:ind w:left="720" w:hanging="240"/>
      </w:pPr>
      <w:r>
        <w:rPr>
          <w:color w:val="333333"/>
          <w:sz w:val="20"/>
          <w:szCs w:val="20"/>
          <w:rFonts w:ascii="맑은 고딕" w:cs="맑은 고딕" w:eastAsia="맑은 고딕" w:hAnsi="맑은 고딕"/>
        </w:rPr>
        <w:t xml:space="preserve">② 환경안전팀은 관련 부서(생산팀, 품질팀)와 협의하여 각 환경영향의 규모, 심각성, 지속기간, 노출을 판단하고 환경영향 점수(B)를 계산한다.</w:t>
      </w:r>
    </w:p>
    <w:p>
      <w:pPr>
        <w:spacing w:after="120" w:line="360"/>
        <w:ind w:left="720" w:hanging="240"/>
      </w:pPr>
      <w:r>
        <w:rPr>
          <w:color w:val="333333"/>
          <w:sz w:val="20"/>
          <w:szCs w:val="20"/>
          <w:rFonts w:ascii="맑은 고딕" w:cs="맑은 고딕" w:eastAsia="맑은 고딕" w:hAnsi="맑은 고딕"/>
        </w:rPr>
        <w:t xml:space="preserve">③ 총점(A × B)을 계산하여 「QF-022 환경측면 영향평가표」의 '총점' 컬럼에 기록한다.</w:t>
      </w:r>
    </w:p>
    <w:p>
      <w:pPr>
        <w:spacing w:after="120" w:line="360"/>
        <w:ind w:left="720" w:hanging="240"/>
      </w:pPr>
      <w:r>
        <w:rPr>
          <w:color w:val="333333"/>
          <w:sz w:val="20"/>
          <w:szCs w:val="20"/>
          <w:rFonts w:ascii="맑은 고딕" w:cs="맑은 고딕" w:eastAsia="맑은 고딕" w:hAnsi="맑은 고딕"/>
        </w:rPr>
        <w:t xml:space="preserve">④ 총점에 따라 '중대성' 컬럼에 Significant, Moderate, Minor를 표기한다.</w:t>
      </w:r>
    </w:p>
    <w:p>
      <w:pPr>
        <w:spacing w:after="120" w:line="360"/>
        <w:ind w:left="720" w:hanging="240"/>
      </w:pPr>
      <w:r>
        <w:rPr>
          <w:color w:val="333333"/>
          <w:sz w:val="20"/>
          <w:szCs w:val="20"/>
          <w:rFonts w:ascii="맑은 고딕" w:cs="맑은 고딕" w:eastAsia="맑은 고딕" w:hAnsi="맑은 고딕"/>
        </w:rPr>
        <w:t xml:space="preserve">⑤ 평가 과정에서 의견 불일치 발생 시, 환경안전팀장이 최종 판단하며, 필요시 관리책임자(대표이사 또는 환경안전팀장)에게 보고하여 승인을 받는다.</w:t>
      </w:r>
    </w:p>
    <w:p>
      <w:pPr>
        <w:spacing w:after="120" w:line="360"/>
        <w:ind w:left="480" w:hanging="240"/>
      </w:pPr>
      <w:r>
        <w:rPr>
          <w:color w:val="333333"/>
          <w:sz w:val="20"/>
          <w:szCs w:val="20"/>
          <w:rFonts w:ascii="맑은 고딕" w:cs="맑은 고딕" w:eastAsia="맑은 고딕" w:hAnsi="맑은 고딕"/>
        </w:rPr>
        <w:t xml:space="preserve">5.3.3 중대한 환경측면 목록 작성 (담당: 환경안전팀)</w:t>
      </w:r>
    </w:p>
    <w:p>
      <w:pPr>
        <w:spacing w:after="120" w:line="360"/>
        <w:ind w:left="480" w:hanging="0"/>
      </w:pPr>
      <w:r>
        <w:rPr>
          <w:color w:val="333333"/>
          <w:sz w:val="20"/>
          <w:szCs w:val="20"/>
          <w:rFonts w:ascii="맑은 고딕" w:cs="맑은 고딕" w:eastAsia="맑은 고딕" w:hAnsi="맑은 고딕"/>
        </w:rPr>
        <w:t xml:space="preserve">환경안전팀은 평가 결과 'Significant'로 판정된 환경측면을 별도로 추출하여 「중대한 환경측면 목록」을 작성한다. 목록에는 다음 정보를 포함한다.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환경측면명, 환경영향, 총점, 관련 부서/공정, 전과정 단계, 운영조건(정상/비정상/비상사태)</w:t>
      </w:r>
    </w:p>
    <w:p>
      <w:pPr>
        <w:pStyle w:val="ListParagraph"/>
        <w:numPr>
          <w:ilvl w:val="0"/>
          <w:numId w:val="2"/>
        </w:numPr>
        <w:spacing w:after="120" w:line="360"/>
      </w:pPr>
      <w:r>
        <w:rPr>
          <w:color w:val="333333"/>
          <w:sz w:val="20"/>
          <w:szCs w:val="20"/>
          <w:rFonts w:ascii="맑은 고딕" w:cs="맑은 고딕" w:eastAsia="맑은 고딕" w:hAnsi="맑은 고딕"/>
        </w:rPr>
        <w:t xml:space="preserve">관리방안 개요(운영기준, 모니터링 방법, 담당 부서)</w:t>
      </w:r>
    </w:p>
    <w:p>
      <w:pPr>
        <w:spacing w:after="120" w:line="360"/>
        <w:ind w:left="960" w:hanging="0"/>
      </w:pPr>
      <w:r>
        <w:rPr>
          <w:color w:val="333333"/>
          <w:sz w:val="20"/>
          <w:szCs w:val="20"/>
          <w:rFonts w:ascii="맑은 고딕" w:cs="맑은 고딕" w:eastAsia="맑은 고딕" w:hAnsi="맑은 고딕"/>
        </w:rPr>
        <w:t xml:space="preserve">중대한 환경측면 목록은 경영검토 회의 및 내부심사 시 보고 자료로 활용되며, 환경목표 수립의 근거가 된다.</w:t>
      </w:r>
    </w:p>
    <w:p>
      <w:pPr>
        <w:spacing w:after="120" w:line="360"/>
        <w:ind w:left="480" w:hanging="240"/>
      </w:pPr>
      <w:r>
        <w:rPr>
          <w:color w:val="333333"/>
          <w:sz w:val="20"/>
          <w:szCs w:val="20"/>
          <w:rFonts w:ascii="맑은 고딕" w:cs="맑은 고딕" w:eastAsia="맑은 고딕" w:hAnsi="맑은 고딕"/>
        </w:rPr>
        <w:t xml:space="preserve">5.3.4 우선순위 설정 (담당: 환경안전팀, 관리책임자)</w:t>
      </w:r>
    </w:p>
    <w:p>
      <w:pPr>
        <w:spacing w:after="120" w:line="360"/>
        <w:ind w:left="480" w:hanging="0"/>
      </w:pPr>
      <w:r>
        <w:rPr>
          <w:color w:val="333333"/>
          <w:sz w:val="20"/>
          <w:szCs w:val="20"/>
          <w:rFonts w:ascii="맑은 고딕" w:cs="맑은 고딕" w:eastAsia="맑은 고딕" w:hAnsi="맑은 고딕"/>
        </w:rPr>
        <w:t xml:space="preserve">환경안전팀은 중대한 환경측면 중에서도 총점이 높은 순서대로 우선순위를 부여한다. 우선순위가 높은 환경측면부터 다음 조치를 우선 적용한다.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환경목표 및 세부목표 설정(EP-005 『환경 리스크 및 기회 관리 절차서』 연계)</w:t>
      </w:r>
    </w:p>
    <w:p>
      <w:pPr>
        <w:pStyle w:val="ListParagraph"/>
        <w:numPr>
          <w:ilvl w:val="0"/>
          <w:numId w:val="2"/>
        </w:numPr>
        <w:spacing w:after="120" w:line="360"/>
      </w:pPr>
      <w:r>
        <w:rPr>
          <w:color w:val="333333"/>
          <w:sz w:val="20"/>
          <w:szCs w:val="20"/>
          <w:rFonts w:ascii="맑은 고딕" w:cs="맑은 고딕" w:eastAsia="맑은 고딕" w:hAnsi="맑은 고딕"/>
        </w:rPr>
        <w:t xml:space="preserve">운영관리 강화(모니터링 빈도 증가, 관리기준 상향)</w:t>
      </w:r>
    </w:p>
    <w:p>
      <w:pPr>
        <w:pStyle w:val="ListParagraph"/>
        <w:numPr>
          <w:ilvl w:val="0"/>
          <w:numId w:val="2"/>
        </w:numPr>
        <w:spacing w:after="120" w:line="360"/>
      </w:pPr>
      <w:r>
        <w:rPr>
          <w:color w:val="333333"/>
          <w:sz w:val="20"/>
          <w:szCs w:val="20"/>
          <w:rFonts w:ascii="맑은 고딕" w:cs="맑은 고딕" w:eastAsia="맑은 고딕" w:hAnsi="맑은 고딕"/>
        </w:rPr>
        <w:t xml:space="preserve">투자 계획 반영(에너지 절감 설비, 폐기물 감량 설비 도입 등)</w:t>
      </w:r>
    </w:p>
    <w:p>
      <w:pPr>
        <w:spacing w:after="120" w:line="360"/>
        <w:ind w:left="960" w:hanging="0"/>
      </w:pPr>
      <w:r>
        <w:rPr>
          <w:color w:val="333333"/>
          <w:sz w:val="20"/>
          <w:szCs w:val="20"/>
          <w:rFonts w:ascii="맑은 고딕" w:cs="맑은 고딕" w:eastAsia="맑은 고딕" w:hAnsi="맑은 고딕"/>
        </w:rPr>
        <w:t xml:space="preserve">관리책임자는 우선순위 설정 결과를 검토하고, 자원 배분 계획을 승인한다.</w:t>
      </w:r>
    </w:p>
    <w:p>
      <w:pPr>
        <w:pStyle w:val="Heading2"/>
        <w:spacing w:before="240" w:after="160"/>
      </w:pPr>
      <w:r>
        <w:rPr>
          <w:b/>
          <w:bCs/>
          <w:color w:val="1F2937"/>
          <w:sz w:val="24"/>
          <w:szCs w:val="24"/>
          <w:rFonts w:ascii="맑은 고딕" w:cs="맑은 고딕" w:eastAsia="맑은 고딕" w:hAnsi="맑은 고딕"/>
        </w:rPr>
        <w:t xml:space="preserve">문서화 및 관리</w:t>
      </w:r>
    </w:p>
    <w:p>
      <w:pPr>
        <w:spacing w:after="120" w:line="360"/>
        <w:ind w:left="480" w:hanging="240"/>
      </w:pPr>
      <w:r>
        <w:rPr>
          <w:color w:val="333333"/>
          <w:sz w:val="20"/>
          <w:szCs w:val="20"/>
          <w:rFonts w:ascii="맑은 고딕" w:cs="맑은 고딕" w:eastAsia="맑은 고딕" w:hAnsi="맑은 고딕"/>
        </w:rPr>
        <w:t xml:space="preserve">5.4.1 문서화된 정보 유지 (담당: 환경안전팀)</w:t>
      </w:r>
    </w:p>
    <w:p>
      <w:pPr>
        <w:spacing w:after="120" w:line="360"/>
        <w:ind w:left="480" w:hanging="0"/>
      </w:pPr>
      <w:r>
        <w:rPr>
          <w:color w:val="333333"/>
          <w:sz w:val="20"/>
          <w:szCs w:val="20"/>
          <w:rFonts w:ascii="맑은 고딕" w:cs="맑은 고딕" w:eastAsia="맑은 고딕" w:hAnsi="맑은 고딕"/>
        </w:rPr>
        <w:t xml:space="preserve">환경안전팀은 다음 정보를 문서화된 정보로 유지한다.</w:t>
      </w:r>
    </w:p>
    <w:p>
      <w:pPr>
        <w:spacing w:after="120" w:line="360"/>
        <w:ind w:left="720" w:hanging="240"/>
      </w:pPr>
      <w:r>
        <w:rPr>
          <w:color w:val="333333"/>
          <w:sz w:val="20"/>
          <w:szCs w:val="20"/>
          <w:rFonts w:ascii="맑은 고딕" w:cs="맑은 고딕" w:eastAsia="맑은 고딕" w:hAnsi="맑은 고딕"/>
        </w:rPr>
        <w:t xml:space="preserve">① 「QF-022 환경측면 영향평가표」: 전체 환경측면 목록, 평가 점수, 중대성 판정 결과</w:t>
      </w:r>
    </w:p>
    <w:p>
      <w:pPr>
        <w:spacing w:after="120" w:line="360"/>
        <w:ind w:left="720" w:hanging="240"/>
      </w:pPr>
      <w:r>
        <w:rPr>
          <w:color w:val="333333"/>
          <w:sz w:val="20"/>
          <w:szCs w:val="20"/>
          <w:rFonts w:ascii="맑은 고딕" w:cs="맑은 고딕" w:eastAsia="맑은 고딕" w:hAnsi="맑은 고딕"/>
        </w:rPr>
        <w:t xml:space="preserve">② 중대한 환경측면 목록: Significant 환경측면만 별도 정리한 요약 목록</w:t>
      </w:r>
    </w:p>
    <w:p>
      <w:pPr>
        <w:spacing w:after="120" w:line="360"/>
        <w:ind w:left="720" w:hanging="240"/>
      </w:pPr>
      <w:r>
        <w:rPr>
          <w:color w:val="333333"/>
          <w:sz w:val="20"/>
          <w:szCs w:val="20"/>
          <w:rFonts w:ascii="맑은 고딕" w:cs="맑은 고딕" w:eastAsia="맑은 고딕" w:hAnsi="맑은 고딕"/>
        </w:rPr>
        <w:t xml:space="preserve">③ 환경측면 평가 기준: 본 절차서 5.3.1에 정의된 평가 기준(유형, 규모, 빈도, 규모, 심각성, 지속기간, 노출 점수 체계)</w:t>
      </w:r>
    </w:p>
    <w:p>
      <w:pPr>
        <w:spacing w:after="120" w:line="360"/>
        <w:ind w:left="720" w:hanging="240"/>
      </w:pPr>
      <w:r>
        <w:rPr>
          <w:color w:val="333333"/>
          <w:sz w:val="20"/>
          <w:szCs w:val="20"/>
          <w:rFonts w:ascii="맑은 고딕" w:cs="맑은 고딕" w:eastAsia="맑은 고딕" w:hAnsi="맑은 고딕"/>
        </w:rPr>
        <w:t xml:space="preserve">④ 전과정 단계별 환경측면 매핑: 각 전과정 단계에 해당하는 환경측면을 도표 또는 플로우차트로 시각화한 자료</w:t>
      </w:r>
    </w:p>
    <w:p>
      <w:pPr>
        <w:spacing w:after="120" w:line="360"/>
        <w:ind w:left="720" w:hanging="240"/>
      </w:pPr>
      <w:r>
        <w:rPr>
          <w:color w:val="333333"/>
          <w:sz w:val="20"/>
          <w:szCs w:val="20"/>
          <w:rFonts w:ascii="맑은 고딕" w:cs="맑은 고딕" w:eastAsia="맑은 고딕" w:hAnsi="맑은 고딕"/>
        </w:rPr>
        <w:t xml:space="preserve">⑤ 비상사태 시나리오별 환경측면: EP-003 『비상사태 대비 및 대응 절차서』와 연계된 비상사태 환경측면 목록</w:t>
      </w:r>
    </w:p>
    <w:p>
      <w:pPr>
        <w:spacing w:after="120" w:line="360"/>
        <w:ind w:left="720" w:hanging="0"/>
      </w:pPr>
      <w:r>
        <w:rPr>
          <w:color w:val="333333"/>
          <w:sz w:val="20"/>
          <w:szCs w:val="20"/>
          <w:rFonts w:ascii="맑은 고딕" w:cs="맑은 고딕" w:eastAsia="맑은 고딕" w:hAnsi="맑은 고딕"/>
        </w:rPr>
        <w:t xml:space="preserve">모든 문서는 전자파일(Excel, PDF) 형태로 서버에 저장하며, 보관기간은 3년으로 한다.</w:t>
      </w:r>
    </w:p>
    <w:p>
      <w:pPr>
        <w:spacing w:after="120" w:line="360"/>
        <w:ind w:left="480" w:hanging="240"/>
      </w:pPr>
      <w:r>
        <w:rPr>
          <w:color w:val="333333"/>
          <w:sz w:val="20"/>
          <w:szCs w:val="20"/>
          <w:rFonts w:ascii="맑은 고딕" w:cs="맑은 고딕" w:eastAsia="맑은 고딕" w:hAnsi="맑은 고딕"/>
        </w:rPr>
        <w:t xml:space="preserve">5.4.2 중대한 환경측면 관리방안 수립 (담당: 환경안전팀, 관련 부서)</w:t>
      </w:r>
    </w:p>
    <w:p>
      <w:pPr>
        <w:spacing w:after="120" w:line="360"/>
        <w:ind w:left="480" w:hanging="0"/>
      </w:pPr>
      <w:r>
        <w:rPr>
          <w:color w:val="333333"/>
          <w:sz w:val="20"/>
          <w:szCs w:val="20"/>
          <w:rFonts w:ascii="맑은 고딕" w:cs="맑은 고딕" w:eastAsia="맑은 고딕" w:hAnsi="맑은 고딕"/>
        </w:rPr>
        <w:t xml:space="preserve">환경안전팀은 중대한 환경측면에 대해 다음 관리방안을 수립하고, 관련 부서에 전달한다.</w:t>
      </w:r>
    </w:p>
    <w:p>
      <w:pPr>
        <w:spacing w:after="120" w:line="360"/>
        <w:ind w:left="720" w:hanging="240"/>
      </w:pPr>
      <w:r>
        <w:rPr>
          <w:color w:val="333333"/>
          <w:sz w:val="20"/>
          <w:szCs w:val="20"/>
          <w:rFonts w:ascii="맑은 고딕" w:cs="맑은 고딕" w:eastAsia="맑은 고딕" w:hAnsi="맑은 고딕"/>
        </w:rPr>
        <w:t xml:space="preserve">① 운영기준 설정: 각 환경측면에 대한 관리기준(예: 폐기물 분리배출률 95% 이상, 냉각수 재사용률 80% 이상, 사출기 전력 원단위 월 5% 개선)을 설정하고, 관련 절차서(예: EP-004 『폐기물 관리 및 전과정 관리 절차서』) 또는 작업지침서(WI-005 『사출성형 관리 지침서』)에 반영한다.</w:t>
      </w:r>
    </w:p>
    <w:p>
      <w:pPr>
        <w:spacing w:after="120" w:line="360"/>
        <w:ind w:left="720" w:hanging="240"/>
      </w:pPr>
      <w:r>
        <w:rPr>
          <w:color w:val="333333"/>
          <w:sz w:val="20"/>
          <w:szCs w:val="20"/>
          <w:rFonts w:ascii="맑은 고딕" w:cs="맑은 고딕" w:eastAsia="맑은 고딕" w:hAnsi="맑은 고딕"/>
        </w:rPr>
        <w:t xml:space="preserve">② 모니터링 및 측정: 중대한 환경측면의 정기 모니터링 계획을 수립한다. 모니터링 항목, 방법, 빈도, 담당자를 「QF-033 환경성과 지표 관리표」에 등록하고, EP-007 『환경성과 모니터링 및 평가 절차서』에 따라 이행한다.</w:t>
      </w:r>
    </w:p>
    <w:p>
      <w:pPr>
        <w:spacing w:after="120" w:line="360"/>
        <w:ind w:left="720" w:hanging="240"/>
      </w:pPr>
      <w:r>
        <w:rPr>
          <w:color w:val="333333"/>
          <w:sz w:val="20"/>
          <w:szCs w:val="20"/>
          <w:rFonts w:ascii="맑은 고딕" w:cs="맑은 고딕" w:eastAsia="맑은 고딕" w:hAnsi="맑은 고딕"/>
        </w:rPr>
        <w:t xml:space="preserve">③ 교육훈련: 중대한 환경측면과 관련된 직원(특히 생산팀, 환경안전팀)을 대상으로 환경측면 관리 교육을 실시한다. 교육 내용은 중대한 환경측면의 종류, 환경영향, 관리기준, 비상사태 시 대응방법을 포함하며, 「QF-009 교육훈련 기록부」에 기록한다.</w:t>
      </w:r>
    </w:p>
    <w:p>
      <w:pPr>
        <w:spacing w:after="120" w:line="360"/>
        <w:ind w:left="720" w:hanging="240"/>
      </w:pPr>
      <w:r>
        <w:rPr>
          <w:color w:val="333333"/>
          <w:sz w:val="20"/>
          <w:szCs w:val="20"/>
          <w:rFonts w:ascii="맑은 고딕" w:cs="맑은 고딕" w:eastAsia="맑은 고딕" w:hAnsi="맑은 고딕"/>
        </w:rPr>
        <w:t xml:space="preserve">④ 비상사태 대비: 비상사태로 분류된 환경측면(예: 화재 시 소방수 오염, 유류 누출)에 대해서는 EP-003 『비상사태 대비 및 대응 절차서』에 따라 대응절차, 비상연락망, 비상장비 점검 계획을 수립한다.</w:t>
      </w:r>
    </w:p>
    <w:p>
      <w:pPr>
        <w:spacing w:after="120" w:line="360"/>
        <w:ind w:left="480" w:hanging="240"/>
      </w:pPr>
      <w:r>
        <w:rPr>
          <w:color w:val="333333"/>
          <w:sz w:val="20"/>
          <w:szCs w:val="20"/>
          <w:rFonts w:ascii="맑은 고딕" w:cs="맑은 고딕" w:eastAsia="맑은 고딕" w:hAnsi="맑은 고딕"/>
        </w:rPr>
        <w:t xml:space="preserve">5.4.3 정기 검토 및 업데이트 (담당: 환경안전팀)</w:t>
      </w:r>
    </w:p>
    <w:p>
      <w:pPr>
        <w:spacing w:after="120" w:line="360"/>
        <w:ind w:left="480" w:hanging="0"/>
      </w:pPr>
      <w:r>
        <w:rPr>
          <w:color w:val="333333"/>
          <w:sz w:val="20"/>
          <w:szCs w:val="20"/>
          <w:rFonts w:ascii="맑은 고딕" w:cs="맑은 고딕" w:eastAsia="맑은 고딕" w:hAnsi="맑은 고딕"/>
        </w:rPr>
        <w:t xml:space="preserve">환경안전팀은 환경측면 파악 및 평가 결과를 다음 주기로 검토하고, 필요시 업데이트한다.</w:t>
      </w:r>
    </w:p>
    <w:p>
      <w:pPr>
        <w:spacing w:after="120" w:line="360"/>
        <w:ind w:left="720" w:hanging="240"/>
      </w:pPr>
      <w:r>
        <w:rPr>
          <w:color w:val="333333"/>
          <w:sz w:val="20"/>
          <w:szCs w:val="20"/>
          <w:rFonts w:ascii="맑은 고딕" w:cs="맑은 고딕" w:eastAsia="맑은 고딕" w:hAnsi="맑은 고딕"/>
        </w:rPr>
        <w:t xml:space="preserve">① 정기 검토: 매년 1월, 연간 환경측면 파악 활동을 수행하여 「QF-022 환경측면 영향평가표」를 전면 재평가한다.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전년도 환경 데이터(에너지 사용량, 폐기물 배출량, 법규 위반 사례, 민원 발생 이력)를 반영하여 평가 점수를 재계산한다.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신규 환경측면(신규 설비, 원재료 변경, 제품 라인 추가)을 추가하고, 소멸된 환경측면은 삭제한다.</w:t>
      </w:r>
    </w:p>
    <w:p>
      <w:pPr>
        <w:spacing w:after="120" w:line="360"/>
        <w:ind w:left="720" w:hanging="240"/>
      </w:pPr>
      <w:r>
        <w:rPr>
          <w:color w:val="333333"/>
          <w:sz w:val="20"/>
          <w:szCs w:val="20"/>
          <w:rFonts w:ascii="맑은 고딕" w:cs="맑은 고딕" w:eastAsia="맑은 고딕" w:hAnsi="맑은 고딕"/>
        </w:rPr>
        <w:t xml:space="preserve">② 수시 검토: 다음 상황 발생 시 즉시 환경측면을 재평가한다.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공정 변경, 신규 설비 도입, 주요 원재료 변경 (예: 재활용 플라스틱 도입, 난연제 종류 변경)</w:t>
      </w:r>
    </w:p>
    <w:p>
      <w:pPr>
        <w:pStyle w:val="ListParagraph"/>
        <w:numPr>
          <w:ilvl w:val="0"/>
          <w:numId w:val="2"/>
        </w:numPr>
        <w:spacing w:after="120" w:line="360"/>
      </w:pPr>
      <w:r>
        <w:rPr>
          <w:color w:val="333333"/>
          <w:sz w:val="20"/>
          <w:szCs w:val="20"/>
          <w:rFonts w:ascii="맑은 고딕" w:cs="맑은 고딕" w:eastAsia="맑은 고딕" w:hAnsi="맑은 고딕"/>
        </w:rPr>
        <w:t xml:space="preserve">법규 제·개정 (예: 플라스틱 사용 규제 강화, 온실가스 배출권거래제 적용)</w:t>
      </w:r>
    </w:p>
    <w:p>
      <w:pPr>
        <w:pStyle w:val="ListParagraph"/>
        <w:numPr>
          <w:ilvl w:val="0"/>
          <w:numId w:val="2"/>
        </w:numPr>
        <w:spacing w:after="120" w:line="360"/>
      </w:pPr>
      <w:r>
        <w:rPr>
          <w:color w:val="333333"/>
          <w:sz w:val="20"/>
          <w:szCs w:val="20"/>
          <w:rFonts w:ascii="맑은 고딕" w:cs="맑은 고딕" w:eastAsia="맑은 고딕" w:hAnsi="맑은 고딕"/>
        </w:rPr>
        <w:t xml:space="preserve">비상사태 발생 (예: 화재, 유류 누출 사고 발생 시 재발 방지를 위한 환경측면 재평가)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고객 요구사항 변경 (예: 재활용 소재 사용 비율 증대 요구, VOC 저감 사양 추가)</w:t>
      </w:r>
    </w:p>
    <w:p>
      <w:pPr>
        <w:pStyle w:val="ListParagraph"/>
        <w:numPr>
          <w:ilvl w:val="0"/>
          <w:numId w:val="2"/>
        </w:numPr>
        <w:spacing w:after="120" w:line="360"/>
      </w:pPr>
      <w:r>
        <w:rPr>
          <w:color w:val="333333"/>
          <w:sz w:val="20"/>
          <w:szCs w:val="20"/>
          <w:rFonts w:ascii="맑은 고딕" w:cs="맑은 고딕" w:eastAsia="맑은 고딕" w:hAnsi="맑은 고딕"/>
        </w:rPr>
        <w:t xml:space="preserve">이해관계자 민원 발생 (예: 소음, 악취 민원)</w:t>
      </w:r>
    </w:p>
    <w:p>
      <w:pPr>
        <w:spacing w:after="120" w:line="360"/>
        <w:ind w:left="960" w:hanging="0"/>
      </w:pPr>
      <w:r>
        <w:rPr>
          <w:color w:val="333333"/>
          <w:sz w:val="20"/>
          <w:szCs w:val="20"/>
          <w:rFonts w:ascii="맑은 고딕" w:cs="맑은 고딕" w:eastAsia="맑은 고딕" w:hAnsi="맑은 고딕"/>
        </w:rPr>
        <w:t xml:space="preserve">수시 검토 결과는 「QF-022 환경측면 영향평가표」에 반영하고, 개정 이력을 관리한다.</w:t>
      </w:r>
    </w:p>
    <w:p>
      <w:pPr>
        <w:spacing w:after="120" w:line="360"/>
        <w:ind w:left="480" w:hanging="240"/>
      </w:pPr>
      <w:r>
        <w:rPr>
          <w:color w:val="333333"/>
          <w:sz w:val="20"/>
          <w:szCs w:val="20"/>
          <w:rFonts w:ascii="맑은 고딕" w:cs="맑은 고딕" w:eastAsia="맑은 고딕" w:hAnsi="맑은 고딕"/>
        </w:rPr>
        <w:t xml:space="preserve">5.4.4 내부심사 및 경영검토 연계 (담당: 환경안전팀)</w:t>
      </w:r>
    </w:p>
    <w:p>
      <w:pPr>
        <w:spacing w:after="120" w:line="360"/>
        <w:ind w:left="480" w:hanging="0"/>
      </w:pPr>
      <w:r>
        <w:rPr>
          <w:color w:val="333333"/>
          <w:sz w:val="20"/>
          <w:szCs w:val="20"/>
          <w:rFonts w:ascii="맑은 고딕" w:cs="맑은 고딕" w:eastAsia="맑은 고딕" w:hAnsi="맑은 고딕"/>
        </w:rPr>
        <w:t xml:space="preserve">환경안전팀은 환경측면 평가 결과를 다음과 같이 내부심사 및 경영검토에 활용한다.</w:t>
      </w:r>
    </w:p>
    <w:p>
      <w:pPr>
        <w:spacing w:after="120" w:line="360"/>
        <w:ind w:left="720" w:hanging="240"/>
      </w:pPr>
      <w:r>
        <w:rPr>
          <w:color w:val="333333"/>
          <w:sz w:val="20"/>
          <w:szCs w:val="20"/>
          <w:rFonts w:ascii="맑은 고딕" w:cs="맑은 고딕" w:eastAsia="맑은 고딕" w:hAnsi="맑은 고딕"/>
        </w:rPr>
        <w:t xml:space="preserve">① 내부심사: 「QF-005 내부심사 체크리스트」에 환경측면 파악 및 평가 절차 준수 여부를 점검 항목으로 포함한다.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전과정 관점 적용 여부, 비상사태 고려 여부, 평가 기준 적용의 일관성, 중대한 환경측면 관리방안 이행 상태를 심사한다.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내부심사 결과 부적합 발견 시 「QF-007 부적합 보고서(NCR)」를 발행하고, 시정조치를 요구한다.</w:t>
      </w:r>
    </w:p>
    <w:p>
      <w:pPr>
        <w:spacing w:after="120" w:line="360"/>
        <w:ind w:left="720" w:hanging="240"/>
      </w:pPr>
      <w:r>
        <w:rPr>
          <w:color w:val="333333"/>
          <w:sz w:val="20"/>
          <w:szCs w:val="20"/>
          <w:rFonts w:ascii="맑은 고딕" w:cs="맑은 고딕" w:eastAsia="맑은 고딕" w:hAnsi="맑은 고딕"/>
        </w:rPr>
        <w:t xml:space="preserve">② 경영검토: 「QF-003 경영검토 회의록」에 중대한 환경측면 목록, 평가 결과 요약, 관리방안 이행 실적, 환경목표 달성 현황을 보고한다.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경영검토 회의에서 대표이사는 중대한 환경측면 관리 자원(예산, 인력, 설비 투자)의 적절성을 검토하고, 개선 방향을 지시한다.</w:t>
      </w:r>
    </w:p>
    <w:p>
      <w:pPr>
        <w:pStyle w:val="ListParagraph"/>
        <w:numPr>
          <w:ilvl w:val="0"/>
          <w:numId w:val="2"/>
        </w:numPr>
        <w:spacing w:after="120" w:line="360"/>
      </w:pPr>
      <w:r>
        <w:rPr>
          <w:color w:val="333333"/>
          <w:sz w:val="20"/>
          <w:szCs w:val="20"/>
          <w:rFonts w:ascii="맑은 고딕" w:cs="맑은 고딕" w:eastAsia="맑은 고딕" w:hAnsi="맑은 고딕"/>
        </w:rPr>
        <w:t xml:space="preserve">회의 결과는 EP-005 『환경 리스크 및 기회 관리 절차서』의 환경목표 수정, EP-006 『환경경영시스템 변경관리 절차서』의 변경 계획 수립으로 이어진다.</w:t>
      </w:r>
    </w:p>
    <w:p>
      <w:pPr>
        <w:spacing w:after="120" w:line="360"/>
        <w:ind w:left="480" w:hanging="240"/>
      </w:pPr>
      <w:r>
        <w:rPr>
          <w:color w:val="333333"/>
          <w:sz w:val="20"/>
          <w:szCs w:val="20"/>
          <w:rFonts w:ascii="맑은 고딕" w:cs="맑은 고딕" w:eastAsia="맑은 고딕" w:hAnsi="맑은 고딕"/>
        </w:rPr>
        <w:t xml:space="preserve">5.4.5 Downstream 환경측면 개선 활동 (담당: 품질팀, 경영지원팀, 환경안전팀)</w:t>
      </w:r>
    </w:p>
    <w:p>
      <w:pPr>
        <w:spacing w:after="120" w:line="360"/>
        <w:ind w:left="480" w:hanging="0"/>
      </w:pPr>
      <w:r>
        <w:rPr>
          <w:color w:val="333333"/>
          <w:sz w:val="20"/>
          <w:szCs w:val="20"/>
          <w:rFonts w:ascii="맑은 고딕" w:cs="맑은 고딕" w:eastAsia="맑은 고딕" w:hAnsi="맑은 고딕"/>
        </w:rPr>
        <w:t xml:space="preserve">환경안전팀은 제품 사용 및 폐기 단계(Downstream)의 환경측면을 개선하기 위해 다음 활동을 추진한다.</w:t>
      </w:r>
    </w:p>
    <w:p>
      <w:pPr>
        <w:spacing w:after="120" w:line="360"/>
        <w:ind w:left="720" w:hanging="240"/>
      </w:pPr>
      <w:r>
        <w:rPr>
          <w:color w:val="333333"/>
          <w:sz w:val="20"/>
          <w:szCs w:val="20"/>
          <w:rFonts w:ascii="맑은 고딕" w:cs="맑은 고딕" w:eastAsia="맑은 고딕" w:hAnsi="맑은 고딕"/>
        </w:rPr>
        <w:t xml:space="preserve">① 제품 설계 피드백: 품질팀은 고객 요구사항 검토 시 환경 사양(재활용 용이성, VOC 저감, 내구성 향상)을 반영하도록 설계 담당자(고객사)에게 제안한다.</w:t>
      </w:r>
    </w:p>
    <w:p>
      <w:pPr>
        <w:spacing w:after="120" w:line="360"/>
        <w:ind w:left="720" w:hanging="240"/>
      </w:pPr>
      <w:r>
        <w:rPr>
          <w:color w:val="333333"/>
          <w:sz w:val="20"/>
          <w:szCs w:val="20"/>
          <w:rFonts w:ascii="맑은 고딕" w:cs="맑은 고딕" w:eastAsia="맑은 고딕" w:hAnsi="맑은 고딕"/>
        </w:rPr>
        <w:t xml:space="preserve">② 재활용 소재 사용 확대: 경영지원팀은 협력업체로부터 PCR(Post-Consumer Recycled) 플라스틱 원료를 구매하여 제품에 적용하고, 재활용 비율을 점진적으로 증대한다.</w:t>
      </w:r>
    </w:p>
    <w:p>
      <w:pPr>
        <w:spacing w:after="120" w:line="360"/>
        <w:ind w:left="720" w:hanging="240"/>
      </w:pPr>
      <w:r>
        <w:rPr>
          <w:color w:val="333333"/>
          <w:sz w:val="20"/>
          <w:szCs w:val="20"/>
          <w:rFonts w:ascii="맑은 고딕" w:cs="맑은 고딕" w:eastAsia="맑은 고딕" w:hAnsi="맑은 고딕"/>
        </w:rPr>
        <w:t xml:space="preserve">③ 제품 라벨링: 품질팀은 제품에 재활용 표시(삼각형 화살표, 소재 번호)를 부착하여 소비자의 분리배출을 지원한다.</w:t>
      </w:r>
    </w:p>
    <w:p>
      <w:pPr>
        <w:spacing w:after="120" w:line="360"/>
        <w:ind w:left="720" w:hanging="240"/>
      </w:pPr>
      <w:r>
        <w:rPr>
          <w:color w:val="333333"/>
          <w:sz w:val="20"/>
          <w:szCs w:val="20"/>
          <w:rFonts w:ascii="맑은 고딕" w:cs="맑은 고딕" w:eastAsia="맑은 고딕" w:hAnsi="맑은 고딕"/>
        </w:rPr>
        <w:t xml:space="preserve">④ 폐기물 처리업체 관리: 경영지원팀은 폐기물 위탁 처리업체의 재활용률을 정기 확인하고, 재활용률이 높은 업체를 우대한다. 매립·소각 비율을 최소화하도록 계약 조건에 반영한다.</w:t>
      </w:r>
    </w:p>
    <w:p>
      <w:pPr>
        <w:spacing w:after="120" w:line="360"/>
        <w:ind w:left="720" w:hanging="240"/>
      </w:pPr>
      <w:r>
        <w:rPr>
          <w:color w:val="333333"/>
          <w:sz w:val="20"/>
          <w:szCs w:val="20"/>
          <w:rFonts w:ascii="맑은 고딕" w:cs="맑은 고딕" w:eastAsia="맑은 고딕" w:hAnsi="맑은 고딕"/>
        </w:rPr>
        <w:t xml:space="preserve">⑤ Take-back 프로그램 검토: 환경안전팀은 고객사와 협의하여 제품 수명 종료 후 회수·재활용 프로그램 도입 가능성을 검토하고, 실현 가능성이 있는 경우 시범 운영한다.</w:t>
      </w:r>
    </w:p>
    <w:p>
      <w:pPr>
        <w:pStyle w:val="Heading1"/>
        <w:spacing w:before="480" w:after="240"/>
      </w:pPr>
      <w:r>
        <w:rPr>
          <w:b/>
          <w:bCs/>
          <w:color w:val="1F2937"/>
          <w:sz w:val="28"/>
          <w:szCs w:val="28"/>
          <w:rFonts w:ascii="맑은 고딕" w:cs="맑은 고딕" w:eastAsia="맑은 고딕" w:hAnsi="맑은 고딕"/>
        </w:rPr>
        <w:t xml:space="preserve">6. 관련 문서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EM-001 『환경매뉴얼』</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EP-002 『환경 법규 파악 및 준수평가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EP-003 『비상사태 대비 및 대응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EP-004 『폐기물 관리 및 전과정 관리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EP-005 『환경 리스크 및 기회 관리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EP-006 『환경경영시스템 변경관리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EP-007 『환경성과 모니터링 및 평가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EP-008 『기후변화·생물다양성 대응 절차서』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WI-005 『사출성형 관리 지침서』</w:t>
      </w:r>
    </w:p>
    <w:p>
      <w:pPr>
        <w:pStyle w:val="ListParagraph"/>
        <w:numPr>
          <w:ilvl w:val="0"/>
          <w:numId w:val="2"/>
        </w:numPr>
        <w:spacing w:after="120" w:line="360"/>
      </w:pPr>
      <w:r>
        <w:rPr>
          <w:color w:val="333333"/>
          <w:sz w:val="20"/>
          <w:szCs w:val="20"/>
          <w:rFonts w:ascii="맑은 고딕" w:cs="맑은 고딕" w:eastAsia="맑은 고딕" w:hAnsi="맑은 고딕"/>
        </w:rPr>
        <w:t xml:space="preserve">QF-016 『협력업체 평가표』</w:t>
      </w:r>
    </w:p>
    <w:p>
      <w:pPr>
        <w:pStyle w:val="Heading1"/>
        <w:spacing w:before="480" w:after="240"/>
      </w:pPr>
      <w:r>
        <w:rPr>
          <w:b/>
          <w:bCs/>
          <w:color w:val="1F2937"/>
          <w:sz w:val="28"/>
          <w:szCs w:val="28"/>
          <w:rFonts w:ascii="맑은 고딕" w:cs="맑은 고딕" w:eastAsia="맑은 고딕" w:hAnsi="맑은 고딕"/>
        </w:rPr>
        <w:t xml:space="preserve">7. 기록</w:t>
      </w:r>
    </w:p>
    <w:p>
      <w:pPr>
        <w:spacing w:after="120" w:line="360"/>
      </w:pPr>
      <w:r>
        <w:rPr>
          <w:color w:val="333333"/>
          <w:sz w:val="20"/>
          <w:szCs w:val="20"/>
          <w:rFonts w:ascii="맑은 고딕" w:cs="맑은 고딕" w:eastAsia="맑은 고딕" w:hAnsi="맑은 고딕"/>
        </w:rPr>
        <w:t xml:space="preserve">본 절차의 이행 결과는 다음 양식에 기록하여 보관한다.</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Borders>
              <w:top w:val="single" w:color="AAAAAA" w:sz="1"/>
              <w:left w:val="single" w:color="AAAAAA" w:sz="1"/>
              <w:bottom w:val="single" w:color="AAAAAA" w:sz="1"/>
              <w:right w:val="single" w:color="AAAAAA" w:sz="1"/>
            </w:tcBorders>
            <w:shd w:fill="F3F4F6"/>
            <w:vAlign w:val="center"/>
          </w:tcPr>
          <w:p>
            <w:pPr>
              <w:spacing w:before="40" w:after="40"/>
              <w:jc w:val="center"/>
            </w:pPr>
            <w:r>
              <w:rPr>
                <w:b/>
                <w:bCs/>
                <w:sz w:val="20"/>
                <w:szCs w:val="20"/>
                <w:rFonts w:ascii="맑은 고딕" w:cs="맑은 고딕" w:eastAsia="맑은 고딕" w:hAnsi="맑은 고딕"/>
              </w:rPr>
              <w:t xml:space="preserve">양식번호</w:t>
            </w:r>
          </w:p>
        </w:tc>
        <w:tc>
          <w:tcPr>
            <w:tcBorders>
              <w:top w:val="single" w:color="AAAAAA" w:sz="1"/>
              <w:left w:val="single" w:color="AAAAAA" w:sz="1"/>
              <w:bottom w:val="single" w:color="AAAAAA" w:sz="1"/>
              <w:right w:val="single" w:color="AAAAAA" w:sz="1"/>
            </w:tcBorders>
            <w:shd w:fill="F3F4F6"/>
            <w:vAlign w:val="center"/>
          </w:tcPr>
          <w:p>
            <w:pPr>
              <w:spacing w:before="40" w:after="40"/>
              <w:jc w:val="center"/>
            </w:pPr>
            <w:r>
              <w:rPr>
                <w:b/>
                <w:bCs/>
                <w:sz w:val="20"/>
                <w:szCs w:val="20"/>
                <w:rFonts w:ascii="맑은 고딕" w:cs="맑은 고딕" w:eastAsia="맑은 고딕" w:hAnsi="맑은 고딕"/>
              </w:rPr>
              <w:t xml:space="preserve">양식명</w:t>
            </w:r>
          </w:p>
        </w:tc>
        <w:tc>
          <w:tcPr>
            <w:tcBorders>
              <w:top w:val="single" w:color="AAAAAA" w:sz="1"/>
              <w:left w:val="single" w:color="AAAAAA" w:sz="1"/>
              <w:bottom w:val="single" w:color="AAAAAA" w:sz="1"/>
              <w:right w:val="single" w:color="AAAAAA" w:sz="1"/>
            </w:tcBorders>
            <w:shd w:fill="F3F4F6"/>
            <w:vAlign w:val="center"/>
          </w:tcPr>
          <w:p>
            <w:pPr>
              <w:spacing w:before="40" w:after="40"/>
              <w:jc w:val="center"/>
            </w:pPr>
            <w:r>
              <w:rPr>
                <w:b/>
                <w:bCs/>
                <w:sz w:val="20"/>
                <w:szCs w:val="20"/>
                <w:rFonts w:ascii="맑은 고딕" w:cs="맑은 고딕" w:eastAsia="맑은 고딕" w:hAnsi="맑은 고딕"/>
              </w:rPr>
              <w:t xml:space="preserve">보관기간</w:t>
            </w:r>
          </w:p>
        </w:tc>
        <w:tc>
          <w:tcPr>
            <w:tcBorders>
              <w:top w:val="single" w:color="AAAAAA" w:sz="1"/>
              <w:left w:val="single" w:color="AAAAAA" w:sz="1"/>
              <w:bottom w:val="single" w:color="AAAAAA" w:sz="1"/>
              <w:right w:val="single" w:color="AAAAAA" w:sz="1"/>
            </w:tcBorders>
            <w:shd w:fill="F3F4F6"/>
            <w:vAlign w:val="center"/>
          </w:tcPr>
          <w:p>
            <w:pPr>
              <w:spacing w:before="40" w:after="40"/>
              <w:jc w:val="center"/>
            </w:pPr>
            <w:r>
              <w:rPr>
                <w:b/>
                <w:bCs/>
                <w:sz w:val="20"/>
                <w:szCs w:val="20"/>
                <w:rFonts w:ascii="맑은 고딕" w:cs="맑은 고딕" w:eastAsia="맑은 고딕" w:hAnsi="맑은 고딕"/>
              </w:rPr>
              <w:t xml:space="preserve">보관장소</w:t>
            </w:r>
          </w:p>
        </w:tc>
        <w:tc>
          <w:tcPr>
            <w:tcBorders>
              <w:top w:val="single" w:color="AAAAAA" w:sz="1"/>
              <w:left w:val="single" w:color="AAAAAA" w:sz="1"/>
              <w:bottom w:val="single" w:color="AAAAAA" w:sz="1"/>
              <w:right w:val="single" w:color="AAAAAA" w:sz="1"/>
            </w:tcBorders>
            <w:shd w:fill="F3F4F6"/>
            <w:vAlign w:val="center"/>
          </w:tcPr>
          <w:p>
            <w:pPr>
              <w:spacing w:before="40" w:after="40"/>
              <w:jc w:val="center"/>
            </w:pPr>
            <w:r>
              <w:rPr>
                <w:b/>
                <w:bCs/>
                <w:sz w:val="20"/>
                <w:szCs w:val="20"/>
                <w:rFonts w:ascii="맑은 고딕" w:cs="맑은 고딕" w:eastAsia="맑은 고딕" w:hAnsi="맑은 고딕"/>
              </w:rPr>
              <w:t xml:space="preserve">책임자</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QF-022</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환경측면 영향평가표</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QF-025</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법규 등록부</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QF-030</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 리스크·기회 평가표</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QF-033</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환경성과 지표 관리표</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QF-003</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경영검토 회의록</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경영지원팀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경영지원팀장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QF-005</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내부심사 체크리스트</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환경안전팀장</w:t>
            </w:r>
          </w:p>
        </w:tc>
      </w:tr>
      <w:tr>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QF-009</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교육훈련 기록부</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3년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경영지원팀 서버</w:t>
            </w:r>
          </w:p>
        </w:tc>
        <w:tc>
          <w:tcPr>
            <w:tcBorders>
              <w:top w:val="single" w:color="AAAAAA" w:sz="1"/>
              <w:left w:val="single" w:color="AAAAAA" w:sz="1"/>
              <w:bottom w:val="single" w:color="AAAAAA" w:sz="1"/>
              <w:right w:val="single" w:color="AAAAAA" w:sz="1"/>
            </w:tcBorders>
            <w:vAlign w:val="center"/>
          </w:tcPr>
          <w:p>
            <w:pPr>
              <w:spacing w:before="40" w:after="40"/>
            </w:pPr>
            <w:r>
              <w:rPr>
                <w:sz w:val="20"/>
                <w:szCs w:val="20"/>
                <w:rFonts w:ascii="맑은 고딕" w:cs="맑은 고딕" w:eastAsia="맑은 고딕" w:hAnsi="맑은 고딕"/>
              </w:rPr>
              <w:t xml:space="preserve">경영지원팀장</w:t>
            </w:r>
          </w:p>
        </w:tc>
      </w:tr>
    </w:tbl>
    <w:p>
      <w:pPr>
        <w:spacing w:after="200"/>
      </w:pPr>
    </w:p>
    <w:p>
      <w:pPr>
        <w:spacing w:after="120" w:line="360"/>
      </w:pPr>
      <w:r>
        <w:rPr>
          <w:color w:val="333333"/>
          <w:sz w:val="20"/>
          <w:szCs w:val="20"/>
          <w:rFonts w:ascii="맑은 고딕" w:cs="맑은 고딕" w:eastAsia="맑은 고딕" w:hAnsi="맑은 고딕"/>
        </w:rPr>
        <w:t xml:space="preserve">기록의 식별, 보관, 보호, 검색, 보유기간 및 폐기는 문서 및 기록관리 절차에 따른다. 환경측면 평가 관련 외부 문서(협력업체 환경인증서, 폐기물 처리업체 허가증, 재활용 성적서 등)는 경영지원팀 및 환경안전팀이 입수하여 관리하며, 별도의 외부 문서 관리 대장에 등록한다.</w:t>
      </w:r>
    </w:p>
    <w:sectPr>
      <w:headerReference w:type="default" r:id="rId6"/>
      <w:footerReference w:type="default" r:id="rId7"/>
      <w:type w:val="nextPage"/>
      <w:pgSz w:w="11906" w:h="16838" w:orient="portrait"/>
      <w:pgMar w:top="1440" w:right="1080" w:bottom="1440" w:left="1080" w:header="720" w:footer="72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6"/>
        <w:szCs w:val="16"/>
        <w:rFonts w:ascii="맑은 고딕" w:cs="맑은 고딕" w:eastAsia="맑은 고딕" w:hAnsi="맑은 고딕"/>
      </w:rPr>
      <w:t xml:space="preserve">- </w:t>
    </w:r>
    <w:r>
      <w:rPr>
        <w:color w:val="6B7280"/>
        <w:sz w:val="16"/>
        <w:szCs w:val="16"/>
        <w:rFonts w:ascii="맑은 고딕" w:cs="맑은 고딕" w:eastAsia="맑은 고딕" w:hAnsi="맑은 고딕"/>
      </w:rPr>
      <w:fldChar w:fldCharType="begin"/>
      <w:instrText xml:space="preserve">PAGE</w:instrText>
      <w:fldChar w:fldCharType="separate"/>
      <w:fldChar w:fldCharType="end"/>
    </w:r>
    <w:r>
      <w:rPr>
        <w:color w:val="6B7280"/>
        <w:sz w:val="16"/>
        <w:szCs w:val="16"/>
        <w:rFonts w:ascii="맑은 고딕" w:cs="맑은 고딕" w:eastAsia="맑은 고딕" w:hAnsi="맑은 고딕"/>
      </w:rPr>
      <w:t xml:space="preserve"> / </w:t>
    </w:r>
    <w:r>
      <w:rPr>
        <w:color w:val="6B7280"/>
        <w:sz w:val="16"/>
        <w:szCs w:val="16"/>
        <w:rFonts w:ascii="맑은 고딕" w:cs="맑은 고딕" w:eastAsia="맑은 고딕" w:hAnsi="맑은 고딕"/>
      </w:rPr>
      <w:fldChar w:fldCharType="begin"/>
      <w:instrText xml:space="preserve">NUMPAGES</w:instrText>
      <w:fldChar w:fldCharType="separate"/>
      <w:fldChar w:fldCharType="end"/>
    </w:r>
    <w:r>
      <w:rPr>
        <w:color w:val="6B7280"/>
        <w:sz w:val="16"/>
        <w:szCs w:val="16"/>
        <w:rFonts w:ascii="맑은 고딕" w:cs="맑은 고딕" w:eastAsia="맑은 고딕" w:hAnsi="맑은 고딕"/>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center" w:pos="4513"/>
        <w:tab w:val="right" w:pos="9026"/>
      </w:tabs>
    </w:pPr>
    <w:r>
      <w:rPr>
        <w:color w:val="6B7280"/>
        <w:sz w:val="16"/>
        <w:szCs w:val="16"/>
        <w:rFonts w:ascii="맑은 고딕" w:cs="맑은 고딕" w:eastAsia="맑은 고딕" w:hAnsi="맑은 고딕"/>
      </w:rPr>
      <w:t xml:space="preserve">EP-001</w:t>
    </w:r>
    <w:r>
      <w:rPr>
        <w:rFonts w:ascii="맑은 고딕" w:cs="맑은 고딕" w:eastAsia="맑은 고딕" w:hAnsi="맑은 고딕"/>
      </w:rPr>
      <w:t xml:space="preserve">	</w:t>
    </w:r>
    <w:r>
      <w:rPr>
        <w:color w:val="6B7280"/>
        <w:sz w:val="16"/>
        <w:szCs w:val="16"/>
        <w:rFonts w:ascii="맑은 고딕" w:cs="맑은 고딕" w:eastAsia="맑은 고딕" w:hAnsi="맑은 고딕"/>
      </w:rPr>
      <w:t xml:space="preserve">에코그린산업(주)</w:t>
    </w:r>
    <w:r>
      <w:rPr>
        <w:rFonts w:ascii="맑은 고딕" w:cs="맑은 고딕" w:eastAsia="맑은 고딕" w:hAnsi="맑은 고딕"/>
      </w:rPr>
      <w:t xml:space="preserve">	</w:t>
    </w:r>
    <w:r>
      <w:rPr>
        <w:color w:val="6B7280"/>
        <w:sz w:val="16"/>
        <w:szCs w:val="16"/>
        <w:rFonts w:ascii="맑은 고딕" w:cs="맑은 고딕" w:eastAsia="맑은 고딕" w:hAnsi="맑은 고딕"/>
      </w:rPr>
      <w:t xml:space="preserve">관리본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96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color w:val="333333"/>
        <w:sz w:val="20"/>
        <w:szCs w:val="20"/>
        <w:rFonts w:ascii="맑은 고딕" w:cs="맑은 고딕" w:eastAsia="맑은 고딕" w:hAnsi="맑은 고딕"/>
      </w:rPr>
    </w:rPrDefault>
    <w:pPrDefault>
      <w:pPr>
        <w:spacing w:after="120" w:line="36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2026-04-02T13:43:36.740Z</dcterms:created>
  <dcterms:modified xsi:type="dcterms:W3CDTF">2026-04-02T13:43:36.740Z</dcterms:modified>
</cp:coreProperties>
</file>

<file path=docProps/custom.xml><?xml version="1.0" encoding="utf-8"?>
<Properties xmlns="http://schemas.openxmlformats.org/officeDocument/2006/custom-properties" xmlns:vt="http://schemas.openxmlformats.org/officeDocument/2006/docPropsVTypes"/>
</file>